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691" w:rsidRDefault="0066432F" w:rsidP="0066432F">
      <w:pPr>
        <w:autoSpaceDE w:val="0"/>
        <w:autoSpaceDN w:val="0"/>
        <w:adjustRightInd w:val="0"/>
        <w:rPr>
          <w:rFonts w:ascii="Arial" w:hAnsi="Arial" w:cs="Arial"/>
          <w:b/>
        </w:rPr>
      </w:pPr>
      <w:bookmarkStart w:id="0" w:name="_GoBack"/>
      <w:bookmarkEnd w:id="0"/>
      <w:r>
        <w:rPr>
          <w:noProof/>
          <w:lang w:eastAsia="ro-RO"/>
        </w:rPr>
        <w:drawing>
          <wp:inline distT="0" distB="0" distL="0" distR="0" wp14:anchorId="7BC6E29F" wp14:editId="17F0E3C7">
            <wp:extent cx="5731510" cy="981075"/>
            <wp:effectExtent l="0" t="0" r="0" b="9525"/>
            <wp:docPr id="1" name="Imagine 1" descr="C:\Users\Petru\Downloads\antet-inppa2.png"/>
            <wp:cNvGraphicFramePr/>
            <a:graphic xmlns:a="http://schemas.openxmlformats.org/drawingml/2006/main">
              <a:graphicData uri="http://schemas.openxmlformats.org/drawingml/2006/picture">
                <pic:pic xmlns:pic="http://schemas.openxmlformats.org/drawingml/2006/picture">
                  <pic:nvPicPr>
                    <pic:cNvPr id="1" name="Imagine 1" descr="C:\Users\Petru\Downloads\antet-inppa2.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981075"/>
                    </a:xfrm>
                    <a:prstGeom prst="rect">
                      <a:avLst/>
                    </a:prstGeom>
                    <a:noFill/>
                    <a:ln>
                      <a:noFill/>
                    </a:ln>
                  </pic:spPr>
                </pic:pic>
              </a:graphicData>
            </a:graphic>
          </wp:inline>
        </w:drawing>
      </w:r>
    </w:p>
    <w:p w:rsidR="000C3691" w:rsidRDefault="000C3691" w:rsidP="000C3691">
      <w:pPr>
        <w:autoSpaceDE w:val="0"/>
        <w:autoSpaceDN w:val="0"/>
        <w:adjustRightInd w:val="0"/>
        <w:jc w:val="right"/>
        <w:rPr>
          <w:rFonts w:ascii="Arial" w:hAnsi="Arial" w:cs="Arial"/>
          <w:b/>
        </w:rPr>
      </w:pPr>
    </w:p>
    <w:p w:rsidR="0066432F" w:rsidRDefault="0066432F" w:rsidP="0066432F">
      <w:pPr>
        <w:jc w:val="right"/>
        <w:rPr>
          <w:b/>
          <w:sz w:val="28"/>
          <w:szCs w:val="28"/>
        </w:rPr>
      </w:pPr>
    </w:p>
    <w:p w:rsidR="0066432F" w:rsidRDefault="0066432F" w:rsidP="0066432F">
      <w:pPr>
        <w:jc w:val="right"/>
        <w:rPr>
          <w:rFonts w:asciiTheme="minorHAnsi" w:eastAsiaTheme="minorHAnsi" w:hAnsiTheme="minorHAnsi"/>
          <w:b/>
          <w:sz w:val="28"/>
          <w:szCs w:val="28"/>
        </w:rPr>
      </w:pPr>
      <w:r>
        <w:rPr>
          <w:b/>
          <w:sz w:val="28"/>
          <w:szCs w:val="28"/>
        </w:rPr>
        <w:t>EXAMEN ABSOLVIRE</w:t>
      </w:r>
    </w:p>
    <w:p w:rsidR="0066432F" w:rsidRDefault="0066432F" w:rsidP="0066432F">
      <w:pPr>
        <w:jc w:val="right"/>
        <w:rPr>
          <w:b/>
          <w:sz w:val="28"/>
          <w:szCs w:val="28"/>
        </w:rPr>
      </w:pPr>
      <w:r>
        <w:rPr>
          <w:b/>
          <w:sz w:val="28"/>
          <w:szCs w:val="28"/>
        </w:rPr>
        <w:t>SESIUNEA NOIEMBRIE 2018</w:t>
      </w:r>
    </w:p>
    <w:p w:rsidR="0066432F" w:rsidRDefault="0066432F" w:rsidP="0066432F">
      <w:pPr>
        <w:rPr>
          <w:b/>
          <w:sz w:val="28"/>
          <w:szCs w:val="28"/>
        </w:rPr>
      </w:pPr>
    </w:p>
    <w:p w:rsidR="0066432F" w:rsidRDefault="0066432F" w:rsidP="0066432F">
      <w:pPr>
        <w:rPr>
          <w:b/>
          <w:sz w:val="28"/>
          <w:szCs w:val="28"/>
        </w:rPr>
      </w:pPr>
      <w:r>
        <w:rPr>
          <w:b/>
          <w:sz w:val="28"/>
          <w:szCs w:val="28"/>
        </w:rPr>
        <w:t>Modul: Drept european</w:t>
      </w:r>
    </w:p>
    <w:p w:rsidR="0066432F" w:rsidRDefault="0066432F" w:rsidP="0066432F">
      <w:pPr>
        <w:jc w:val="both"/>
        <w:rPr>
          <w:b/>
        </w:rPr>
      </w:pPr>
    </w:p>
    <w:p w:rsidR="000C3691" w:rsidRPr="005E4A91" w:rsidRDefault="0066432F" w:rsidP="005E4A91">
      <w:pPr>
        <w:autoSpaceDE w:val="0"/>
        <w:autoSpaceDN w:val="0"/>
        <w:adjustRightInd w:val="0"/>
        <w:rPr>
          <w:rFonts w:ascii="Arial" w:hAnsi="Arial" w:cs="Arial"/>
          <w:sz w:val="24"/>
          <w:szCs w:val="24"/>
        </w:rPr>
      </w:pPr>
      <w:r>
        <w:rPr>
          <w:rFonts w:ascii="Arial" w:hAnsi="Arial" w:cs="Arial"/>
          <w:b/>
        </w:rPr>
        <w:t>DISCIPLINA I – DREPTUL UNIUNII EUROPENE</w:t>
      </w:r>
    </w:p>
    <w:p w:rsidR="000C3691" w:rsidRPr="00900AB5" w:rsidRDefault="000C3691" w:rsidP="000C3691">
      <w:pPr>
        <w:pStyle w:val="Header"/>
        <w:jc w:val="center"/>
        <w:rPr>
          <w:rFonts w:asciiTheme="majorHAnsi" w:hAnsiTheme="majorHAnsi"/>
          <w:b/>
          <w:sz w:val="20"/>
          <w:szCs w:val="20"/>
        </w:rPr>
      </w:pPr>
    </w:p>
    <w:p w:rsidR="000C3691" w:rsidRPr="00900AB5" w:rsidRDefault="000C3691" w:rsidP="000C3691">
      <w:pPr>
        <w:pStyle w:val="Header"/>
        <w:jc w:val="center"/>
        <w:rPr>
          <w:rFonts w:asciiTheme="majorHAnsi" w:hAnsiTheme="majorHAnsi"/>
          <w:b/>
          <w:sz w:val="20"/>
          <w:szCs w:val="20"/>
        </w:rPr>
      </w:pPr>
    </w:p>
    <w:p w:rsidR="000C3691" w:rsidRPr="009D3C77" w:rsidRDefault="005E4A91" w:rsidP="000C3691">
      <w:pPr>
        <w:pStyle w:val="Header"/>
        <w:jc w:val="center"/>
        <w:rPr>
          <w:rFonts w:asciiTheme="minorHAnsi" w:hAnsiTheme="minorHAnsi" w:cstheme="minorHAnsi"/>
          <w:b/>
          <w:sz w:val="24"/>
          <w:szCs w:val="24"/>
        </w:rPr>
      </w:pPr>
      <w:r>
        <w:rPr>
          <w:rFonts w:asciiTheme="minorHAnsi" w:hAnsiTheme="minorHAnsi" w:cstheme="minorHAnsi"/>
          <w:b/>
          <w:sz w:val="24"/>
          <w:szCs w:val="24"/>
        </w:rPr>
        <w:t>Lucrarea profesională</w:t>
      </w:r>
      <w:r w:rsidR="00AE4074" w:rsidRPr="009D3C77">
        <w:rPr>
          <w:rFonts w:asciiTheme="minorHAnsi" w:hAnsiTheme="minorHAnsi" w:cstheme="minorHAnsi"/>
          <w:b/>
          <w:sz w:val="24"/>
          <w:szCs w:val="24"/>
        </w:rPr>
        <w:t xml:space="preserve"> nr. 1</w:t>
      </w:r>
    </w:p>
    <w:p w:rsidR="000C3691" w:rsidRPr="009D3C77" w:rsidRDefault="000C3691" w:rsidP="000C3691">
      <w:pPr>
        <w:ind w:firstLine="708"/>
        <w:jc w:val="center"/>
        <w:rPr>
          <w:rFonts w:asciiTheme="minorHAnsi" w:hAnsiTheme="minorHAnsi" w:cstheme="minorHAnsi"/>
          <w:b/>
          <w:sz w:val="24"/>
          <w:szCs w:val="24"/>
        </w:rPr>
      </w:pPr>
    </w:p>
    <w:p w:rsidR="000C3691" w:rsidRPr="009D3C77" w:rsidRDefault="000C3691" w:rsidP="000C3691">
      <w:pPr>
        <w:ind w:firstLine="708"/>
        <w:rPr>
          <w:rFonts w:asciiTheme="minorHAnsi" w:hAnsiTheme="minorHAnsi" w:cstheme="minorHAnsi"/>
          <w:sz w:val="24"/>
          <w:szCs w:val="24"/>
        </w:rPr>
      </w:pPr>
      <w:r w:rsidRPr="009D3C77">
        <w:rPr>
          <w:rFonts w:asciiTheme="minorHAnsi" w:hAnsiTheme="minorHAnsi" w:cstheme="minorHAnsi"/>
          <w:sz w:val="24"/>
          <w:szCs w:val="24"/>
        </w:rPr>
        <w:t>Statul X este stat membru al Uniunii Europene.</w:t>
      </w:r>
    </w:p>
    <w:p w:rsidR="000C3691" w:rsidRPr="009D3C77" w:rsidRDefault="000C3691" w:rsidP="000C3691">
      <w:pPr>
        <w:ind w:firstLine="708"/>
        <w:jc w:val="both"/>
        <w:rPr>
          <w:rFonts w:asciiTheme="minorHAnsi" w:hAnsiTheme="minorHAnsi" w:cstheme="minorHAnsi"/>
          <w:sz w:val="24"/>
          <w:szCs w:val="24"/>
        </w:rPr>
      </w:pPr>
      <w:r w:rsidRPr="009D3C77">
        <w:rPr>
          <w:rFonts w:asciiTheme="minorHAnsi" w:hAnsiTheme="minorHAnsi" w:cstheme="minorHAnsi"/>
          <w:sz w:val="24"/>
          <w:szCs w:val="24"/>
        </w:rPr>
        <w:t>Pe rolul Tribunalului de Muncă al statului X se află un litigiu ale cărui părţi sunt doamna AB, în calitate de reclamantă, respectiv întreprinderea C, în calitate de pârâtă. Ambele părţi sunt resortisanţi ai statului X. Doamna AB, fostă salariată a întreprinderii C, a fost concediată pentru că a refuzat să presteze 54 de ore de muncă pe săptămână, aşa cum stipulează legislaţia naţională. Doamna AB şi-a motivat refuzul de a presta o parte din orele respective invocând Directiva Consiliului 93/104</w:t>
      </w:r>
      <w:r w:rsidRPr="009D3C77">
        <w:rPr>
          <w:rFonts w:asciiTheme="minorHAnsi" w:hAnsiTheme="minorHAnsi" w:cstheme="minorHAnsi"/>
          <w:bCs/>
          <w:sz w:val="24"/>
          <w:szCs w:val="24"/>
        </w:rPr>
        <w:t>/CE din 23 noiembrie 1993 privind anumite aspecte ale organizării timpului de lucru</w:t>
      </w:r>
      <w:r w:rsidRPr="009D3C77">
        <w:rPr>
          <w:rFonts w:asciiTheme="minorHAnsi" w:hAnsiTheme="minorHAnsi" w:cstheme="minorHAnsi"/>
          <w:sz w:val="24"/>
          <w:szCs w:val="24"/>
        </w:rPr>
        <w:t>, al cărei termen de implementare de către statul X a expirat. Potrivit art. 6 al directivei amintite, durata maximă săptămânală de muncă nu trebuie să exceadă 48 de ore, inclusiv orele suplimentare (vezi anexa).</w:t>
      </w:r>
    </w:p>
    <w:p w:rsidR="000C3691" w:rsidRPr="009D3C77" w:rsidRDefault="000C3691" w:rsidP="000C3691">
      <w:pPr>
        <w:ind w:firstLine="708"/>
        <w:jc w:val="both"/>
        <w:rPr>
          <w:rFonts w:asciiTheme="minorHAnsi" w:hAnsiTheme="minorHAnsi" w:cstheme="minorHAnsi"/>
          <w:sz w:val="24"/>
          <w:szCs w:val="24"/>
        </w:rPr>
      </w:pPr>
      <w:r w:rsidRPr="009D3C77">
        <w:rPr>
          <w:rFonts w:asciiTheme="minorHAnsi" w:hAnsiTheme="minorHAnsi" w:cstheme="minorHAnsi"/>
          <w:sz w:val="24"/>
          <w:szCs w:val="24"/>
        </w:rPr>
        <w:t xml:space="preserve">Instanţa naţională a statului X, denumită Tribunalul de Muncă, este formată din trei judecători, dintre care unul desemnat de salariaţi, unul de angajatori şi unul de statul X. Tribunalul, a cărui activitate jurisdicţională se caracterizează prin permanenţă, şi în faţa căruia procedurile sunt contradictorii, judecă în ultimă instanţă, deciziile sale având un caracter obligatoriu. Nereuşind să rezolve aparentul conflict între legislaţia internă şi dreptul Uniunii Europene, Tribunalul de Muncă al statului X are în vedere posibilitatea de a formula o cerere prin care să îi solicite Curţii de Justiţie a Uniunii Europene să pronunţe o hotărâre preliminară. </w:t>
      </w:r>
    </w:p>
    <w:p w:rsidR="000C3691" w:rsidRPr="009D3C77" w:rsidRDefault="000C3691" w:rsidP="000C3691">
      <w:pPr>
        <w:jc w:val="both"/>
        <w:rPr>
          <w:rFonts w:asciiTheme="minorHAnsi" w:hAnsiTheme="minorHAnsi" w:cstheme="minorHAnsi"/>
          <w:sz w:val="24"/>
          <w:szCs w:val="24"/>
        </w:rPr>
      </w:pPr>
    </w:p>
    <w:p w:rsidR="000C3691" w:rsidRPr="009D3C77" w:rsidRDefault="000C3691" w:rsidP="000C3691">
      <w:pPr>
        <w:pStyle w:val="ListParagraph"/>
        <w:numPr>
          <w:ilvl w:val="1"/>
          <w:numId w:val="1"/>
        </w:numPr>
        <w:spacing w:after="0" w:line="240" w:lineRule="auto"/>
        <w:jc w:val="both"/>
        <w:rPr>
          <w:rFonts w:asciiTheme="minorHAnsi" w:hAnsiTheme="minorHAnsi" w:cstheme="minorHAnsi"/>
          <w:b/>
          <w:sz w:val="24"/>
          <w:szCs w:val="24"/>
        </w:rPr>
      </w:pPr>
      <w:r w:rsidRPr="009D3C77">
        <w:rPr>
          <w:rFonts w:asciiTheme="minorHAnsi" w:hAnsiTheme="minorHAnsi" w:cstheme="minorHAnsi"/>
          <w:b/>
          <w:sz w:val="24"/>
          <w:szCs w:val="24"/>
        </w:rPr>
        <w:t>Definiţi directiva şi încadraţi-o între izvoarele de drept al Uniunii Europene.</w:t>
      </w:r>
    </w:p>
    <w:p w:rsidR="000C3691" w:rsidRPr="009D3C77" w:rsidRDefault="000C3691" w:rsidP="000C3691">
      <w:pPr>
        <w:pStyle w:val="ListParagraph"/>
        <w:numPr>
          <w:ilvl w:val="1"/>
          <w:numId w:val="1"/>
        </w:numPr>
        <w:spacing w:after="0" w:line="240" w:lineRule="auto"/>
        <w:jc w:val="both"/>
        <w:rPr>
          <w:rFonts w:asciiTheme="minorHAnsi" w:hAnsiTheme="minorHAnsi" w:cstheme="minorHAnsi"/>
          <w:b/>
          <w:sz w:val="24"/>
          <w:szCs w:val="24"/>
        </w:rPr>
      </w:pPr>
      <w:r w:rsidRPr="009D3C77">
        <w:rPr>
          <w:rFonts w:asciiTheme="minorHAnsi" w:hAnsiTheme="minorHAnsi" w:cstheme="minorHAnsi"/>
          <w:b/>
          <w:sz w:val="24"/>
          <w:szCs w:val="24"/>
        </w:rPr>
        <w:t>Poate un particular al statului X, în principiu, să invoce dispoziţiile art. 6 ale Directivei Consiliului 93/104</w:t>
      </w:r>
      <w:r w:rsidRPr="009D3C77">
        <w:rPr>
          <w:rFonts w:asciiTheme="minorHAnsi" w:hAnsiTheme="minorHAnsi" w:cstheme="minorHAnsi"/>
          <w:b/>
          <w:bCs/>
          <w:sz w:val="24"/>
          <w:szCs w:val="24"/>
        </w:rPr>
        <w:t>/CE</w:t>
      </w:r>
      <w:r w:rsidRPr="009D3C77">
        <w:rPr>
          <w:rFonts w:asciiTheme="minorHAnsi" w:hAnsiTheme="minorHAnsi" w:cstheme="minorHAnsi"/>
          <w:b/>
          <w:sz w:val="24"/>
          <w:szCs w:val="24"/>
        </w:rPr>
        <w:t xml:space="preserve"> în faţa unei jurisdicţii naţionale? Argumentaţi.</w:t>
      </w:r>
    </w:p>
    <w:p w:rsidR="000C3691" w:rsidRPr="009D3C77" w:rsidRDefault="000C3691" w:rsidP="000C3691">
      <w:pPr>
        <w:pStyle w:val="ListParagraph"/>
        <w:numPr>
          <w:ilvl w:val="1"/>
          <w:numId w:val="1"/>
        </w:numPr>
        <w:spacing w:after="0" w:line="240" w:lineRule="auto"/>
        <w:jc w:val="both"/>
        <w:rPr>
          <w:rFonts w:asciiTheme="minorHAnsi" w:hAnsiTheme="minorHAnsi" w:cstheme="minorHAnsi"/>
          <w:b/>
          <w:sz w:val="24"/>
          <w:szCs w:val="24"/>
        </w:rPr>
      </w:pPr>
      <w:r w:rsidRPr="009D3C77">
        <w:rPr>
          <w:rFonts w:asciiTheme="minorHAnsi" w:hAnsiTheme="minorHAnsi" w:cstheme="minorHAnsi"/>
          <w:b/>
          <w:sz w:val="24"/>
          <w:szCs w:val="24"/>
        </w:rPr>
        <w:t>Poate dna AB să invoce în speţă Directiva Consiliului 93/104</w:t>
      </w:r>
      <w:r w:rsidRPr="009D3C77">
        <w:rPr>
          <w:rFonts w:asciiTheme="minorHAnsi" w:hAnsiTheme="minorHAnsi" w:cstheme="minorHAnsi"/>
          <w:b/>
          <w:bCs/>
          <w:sz w:val="24"/>
          <w:szCs w:val="24"/>
        </w:rPr>
        <w:t>/CE</w:t>
      </w:r>
      <w:r w:rsidRPr="009D3C77">
        <w:rPr>
          <w:rFonts w:asciiTheme="minorHAnsi" w:hAnsiTheme="minorHAnsi" w:cstheme="minorHAnsi"/>
          <w:b/>
          <w:sz w:val="24"/>
          <w:szCs w:val="24"/>
        </w:rPr>
        <w:t>? Argumentaţi.</w:t>
      </w:r>
    </w:p>
    <w:p w:rsidR="000C3691" w:rsidRPr="009D3C77" w:rsidRDefault="000C3691" w:rsidP="000C3691">
      <w:pPr>
        <w:pStyle w:val="ListParagraph"/>
        <w:numPr>
          <w:ilvl w:val="1"/>
          <w:numId w:val="1"/>
        </w:numPr>
        <w:spacing w:after="0" w:line="240" w:lineRule="auto"/>
        <w:jc w:val="both"/>
        <w:rPr>
          <w:rFonts w:asciiTheme="minorHAnsi" w:hAnsiTheme="minorHAnsi" w:cstheme="minorHAnsi"/>
          <w:b/>
          <w:sz w:val="24"/>
          <w:szCs w:val="24"/>
        </w:rPr>
      </w:pPr>
      <w:r w:rsidRPr="009D3C77">
        <w:rPr>
          <w:rFonts w:asciiTheme="minorHAnsi" w:hAnsiTheme="minorHAnsi" w:cstheme="minorHAnsi"/>
          <w:b/>
          <w:sz w:val="24"/>
          <w:szCs w:val="24"/>
        </w:rPr>
        <w:t>Definiţi cererea pentru pronunţarea unei hotărâri preliminare, conform art. 267 alin. 1 TFUE.</w:t>
      </w:r>
    </w:p>
    <w:p w:rsidR="000C3691" w:rsidRPr="009D3C77" w:rsidRDefault="000C3691" w:rsidP="000C3691">
      <w:pPr>
        <w:pStyle w:val="ListParagraph"/>
        <w:numPr>
          <w:ilvl w:val="1"/>
          <w:numId w:val="1"/>
        </w:numPr>
        <w:spacing w:after="0" w:line="240" w:lineRule="auto"/>
        <w:jc w:val="both"/>
        <w:rPr>
          <w:rFonts w:asciiTheme="minorHAnsi" w:hAnsiTheme="minorHAnsi" w:cstheme="minorHAnsi"/>
          <w:b/>
          <w:sz w:val="24"/>
          <w:szCs w:val="24"/>
        </w:rPr>
      </w:pPr>
      <w:r w:rsidRPr="009D3C77">
        <w:rPr>
          <w:rFonts w:asciiTheme="minorHAnsi" w:hAnsiTheme="minorHAnsi" w:cstheme="minorHAnsi"/>
          <w:b/>
          <w:sz w:val="24"/>
          <w:szCs w:val="24"/>
        </w:rPr>
        <w:t>Este Tribunalul de Muncă al statului X obligat să formuleze în speţă o astfel de cerere? Argumentaţi.</w:t>
      </w:r>
    </w:p>
    <w:p w:rsidR="000C3691" w:rsidRPr="009D3C77" w:rsidRDefault="000C3691" w:rsidP="000C3691">
      <w:pPr>
        <w:pStyle w:val="ListParagraph"/>
        <w:spacing w:after="0" w:line="240" w:lineRule="auto"/>
        <w:ind w:left="1440"/>
        <w:jc w:val="both"/>
        <w:rPr>
          <w:rFonts w:asciiTheme="minorHAnsi" w:hAnsiTheme="minorHAnsi" w:cstheme="minorHAnsi"/>
          <w:b/>
          <w:sz w:val="24"/>
          <w:szCs w:val="24"/>
        </w:rPr>
      </w:pPr>
    </w:p>
    <w:p w:rsidR="000C3691" w:rsidRPr="009D3C77" w:rsidRDefault="000C3691" w:rsidP="000C3691">
      <w:pPr>
        <w:jc w:val="both"/>
        <w:rPr>
          <w:rFonts w:asciiTheme="minorHAnsi" w:hAnsiTheme="minorHAnsi" w:cstheme="minorHAnsi"/>
          <w:b/>
          <w:sz w:val="24"/>
          <w:szCs w:val="24"/>
        </w:rPr>
      </w:pPr>
      <w:r w:rsidRPr="009D3C77">
        <w:rPr>
          <w:rFonts w:asciiTheme="minorHAnsi" w:hAnsiTheme="minorHAnsi" w:cstheme="minorHAnsi"/>
          <w:b/>
          <w:sz w:val="24"/>
          <w:szCs w:val="24"/>
        </w:rPr>
        <w:t>Anexă</w:t>
      </w:r>
    </w:p>
    <w:p w:rsidR="000C3691" w:rsidRPr="009D3C77" w:rsidRDefault="000C3691" w:rsidP="000C3691">
      <w:pPr>
        <w:autoSpaceDE w:val="0"/>
        <w:autoSpaceDN w:val="0"/>
        <w:adjustRightInd w:val="0"/>
        <w:jc w:val="both"/>
        <w:rPr>
          <w:rFonts w:asciiTheme="minorHAnsi" w:hAnsiTheme="minorHAnsi" w:cstheme="minorHAnsi"/>
          <w:iCs/>
          <w:sz w:val="24"/>
          <w:szCs w:val="24"/>
        </w:rPr>
      </w:pPr>
      <w:r w:rsidRPr="009D3C77">
        <w:rPr>
          <w:rFonts w:asciiTheme="minorHAnsi" w:hAnsiTheme="minorHAnsi" w:cstheme="minorHAnsi"/>
          <w:iCs/>
          <w:sz w:val="24"/>
          <w:szCs w:val="24"/>
        </w:rPr>
        <w:lastRenderedPageBreak/>
        <w:t xml:space="preserve">Directiva </w:t>
      </w:r>
      <w:r w:rsidRPr="009D3C77">
        <w:rPr>
          <w:rFonts w:asciiTheme="minorHAnsi" w:hAnsiTheme="minorHAnsi" w:cstheme="minorHAnsi"/>
          <w:sz w:val="24"/>
          <w:szCs w:val="24"/>
        </w:rPr>
        <w:t>Consiliului 93/104</w:t>
      </w:r>
      <w:r w:rsidRPr="009D3C77">
        <w:rPr>
          <w:rFonts w:asciiTheme="minorHAnsi" w:hAnsiTheme="minorHAnsi" w:cstheme="minorHAnsi"/>
          <w:bCs/>
          <w:sz w:val="24"/>
          <w:szCs w:val="24"/>
        </w:rPr>
        <w:t>/CE</w:t>
      </w:r>
      <w:r w:rsidRPr="009D3C77">
        <w:rPr>
          <w:rFonts w:asciiTheme="minorHAnsi" w:hAnsiTheme="minorHAnsi" w:cstheme="minorHAnsi"/>
          <w:b/>
          <w:bCs/>
          <w:sz w:val="24"/>
          <w:szCs w:val="24"/>
        </w:rPr>
        <w:t xml:space="preserve"> </w:t>
      </w:r>
      <w:r w:rsidRPr="009D3C77">
        <w:rPr>
          <w:rFonts w:asciiTheme="minorHAnsi" w:hAnsiTheme="minorHAnsi" w:cstheme="minorHAnsi"/>
          <w:bCs/>
          <w:sz w:val="24"/>
          <w:szCs w:val="24"/>
        </w:rPr>
        <w:t>din 23 noiembrie 1993 privind anumite aspecte ale organizării timpului de lucru</w:t>
      </w:r>
    </w:p>
    <w:p w:rsidR="000C3691" w:rsidRPr="009D3C77" w:rsidRDefault="000C3691" w:rsidP="000C3691">
      <w:pPr>
        <w:autoSpaceDE w:val="0"/>
        <w:autoSpaceDN w:val="0"/>
        <w:adjustRightInd w:val="0"/>
        <w:jc w:val="both"/>
        <w:rPr>
          <w:rFonts w:asciiTheme="minorHAnsi" w:hAnsiTheme="minorHAnsi" w:cstheme="minorHAnsi"/>
          <w:i/>
          <w:iCs/>
          <w:sz w:val="24"/>
          <w:szCs w:val="24"/>
        </w:rPr>
      </w:pPr>
      <w:r w:rsidRPr="009D3C77">
        <w:rPr>
          <w:rFonts w:asciiTheme="minorHAnsi" w:hAnsiTheme="minorHAnsi" w:cstheme="minorHAnsi"/>
          <w:iCs/>
          <w:sz w:val="24"/>
          <w:szCs w:val="24"/>
        </w:rPr>
        <w:t xml:space="preserve">Articolul 6 - </w:t>
      </w:r>
      <w:r w:rsidRPr="009D3C77">
        <w:rPr>
          <w:rFonts w:asciiTheme="minorHAnsi" w:hAnsiTheme="minorHAnsi" w:cstheme="minorHAnsi"/>
          <w:bCs/>
          <w:sz w:val="24"/>
          <w:szCs w:val="24"/>
        </w:rPr>
        <w:t>Durata maximă a săptămânii de lucru</w:t>
      </w:r>
    </w:p>
    <w:p w:rsidR="000C3691" w:rsidRPr="009D3C77" w:rsidRDefault="000C3691" w:rsidP="000C3691">
      <w:pPr>
        <w:autoSpaceDE w:val="0"/>
        <w:autoSpaceDN w:val="0"/>
        <w:adjustRightInd w:val="0"/>
        <w:jc w:val="both"/>
        <w:rPr>
          <w:rFonts w:asciiTheme="minorHAnsi" w:hAnsiTheme="minorHAnsi" w:cstheme="minorHAnsi"/>
          <w:sz w:val="24"/>
          <w:szCs w:val="24"/>
        </w:rPr>
      </w:pPr>
      <w:r w:rsidRPr="009D3C77">
        <w:rPr>
          <w:rFonts w:asciiTheme="minorHAnsi" w:hAnsiTheme="minorHAnsi" w:cstheme="minorHAnsi"/>
          <w:sz w:val="24"/>
          <w:szCs w:val="24"/>
        </w:rPr>
        <w:t>Statele membre iau măsurile necesare pentru ca, în funcţie de cerinţele de securitate şi sănătate a lucrătorilor:</w:t>
      </w:r>
    </w:p>
    <w:p w:rsidR="000C3691" w:rsidRPr="009D3C77" w:rsidRDefault="000C3691" w:rsidP="000C3691">
      <w:pPr>
        <w:autoSpaceDE w:val="0"/>
        <w:autoSpaceDN w:val="0"/>
        <w:adjustRightInd w:val="0"/>
        <w:jc w:val="both"/>
        <w:rPr>
          <w:rFonts w:asciiTheme="minorHAnsi" w:hAnsiTheme="minorHAnsi" w:cstheme="minorHAnsi"/>
          <w:sz w:val="24"/>
          <w:szCs w:val="24"/>
        </w:rPr>
      </w:pPr>
      <w:r w:rsidRPr="009D3C77">
        <w:rPr>
          <w:rFonts w:asciiTheme="minorHAnsi" w:hAnsiTheme="minorHAnsi" w:cstheme="minorHAnsi"/>
          <w:sz w:val="24"/>
          <w:szCs w:val="24"/>
        </w:rPr>
        <w:t>1. durata săptămânii de lucru să fie limitată prin dispoziţii legale, de reglementare şi</w:t>
      </w:r>
    </w:p>
    <w:p w:rsidR="000C3691" w:rsidRPr="009D3C77" w:rsidRDefault="000C3691" w:rsidP="000C3691">
      <w:pPr>
        <w:autoSpaceDE w:val="0"/>
        <w:autoSpaceDN w:val="0"/>
        <w:adjustRightInd w:val="0"/>
        <w:jc w:val="both"/>
        <w:rPr>
          <w:rFonts w:asciiTheme="minorHAnsi" w:hAnsiTheme="minorHAnsi" w:cstheme="minorHAnsi"/>
          <w:sz w:val="24"/>
          <w:szCs w:val="24"/>
        </w:rPr>
      </w:pPr>
      <w:r w:rsidRPr="009D3C77">
        <w:rPr>
          <w:rFonts w:asciiTheme="minorHAnsi" w:hAnsiTheme="minorHAnsi" w:cstheme="minorHAnsi"/>
          <w:sz w:val="24"/>
          <w:szCs w:val="24"/>
        </w:rPr>
        <w:t>administrative sau prin convenţii colective sau acorduri încheiate între partenerii sociali;</w:t>
      </w:r>
    </w:p>
    <w:p w:rsidR="000C3691" w:rsidRPr="009D3C77" w:rsidRDefault="000C3691" w:rsidP="000C3691">
      <w:pPr>
        <w:autoSpaceDE w:val="0"/>
        <w:autoSpaceDN w:val="0"/>
        <w:adjustRightInd w:val="0"/>
        <w:jc w:val="both"/>
        <w:rPr>
          <w:rFonts w:asciiTheme="minorHAnsi" w:hAnsiTheme="minorHAnsi" w:cstheme="minorHAnsi"/>
          <w:sz w:val="24"/>
          <w:szCs w:val="24"/>
        </w:rPr>
      </w:pPr>
      <w:r w:rsidRPr="009D3C77">
        <w:rPr>
          <w:rFonts w:asciiTheme="minorHAnsi" w:hAnsiTheme="minorHAnsi" w:cstheme="minorHAnsi"/>
          <w:sz w:val="24"/>
          <w:szCs w:val="24"/>
        </w:rPr>
        <w:t>2. media timpului de lucru pentru fiecare perioadă de 7 zile, inclusiv orele suplimentare, să nu depăşească 48 ore.</w:t>
      </w:r>
    </w:p>
    <w:p w:rsidR="000C3691" w:rsidRPr="009D3C77" w:rsidRDefault="000C3691" w:rsidP="000C3691">
      <w:pPr>
        <w:rPr>
          <w:rFonts w:asciiTheme="minorHAnsi" w:hAnsiTheme="minorHAnsi" w:cstheme="minorHAnsi"/>
          <w:sz w:val="24"/>
          <w:szCs w:val="24"/>
        </w:rPr>
      </w:pPr>
    </w:p>
    <w:p w:rsidR="000C3691" w:rsidRPr="009D3C77" w:rsidRDefault="000C3691" w:rsidP="000C3691">
      <w:pPr>
        <w:rPr>
          <w:rFonts w:asciiTheme="minorHAnsi" w:hAnsiTheme="minorHAnsi" w:cstheme="minorHAnsi"/>
          <w:sz w:val="24"/>
          <w:szCs w:val="24"/>
        </w:rPr>
      </w:pPr>
    </w:p>
    <w:p w:rsidR="005E4A91" w:rsidRDefault="005E4A91" w:rsidP="005E4A91">
      <w:pPr>
        <w:ind w:firstLine="708"/>
        <w:jc w:val="center"/>
        <w:rPr>
          <w:rFonts w:cstheme="minorHAnsi"/>
          <w:b/>
        </w:rPr>
      </w:pPr>
      <w:r>
        <w:rPr>
          <w:rFonts w:cstheme="minorHAnsi"/>
          <w:b/>
        </w:rPr>
        <w:t>Lucrarea profesională nr. 2</w:t>
      </w:r>
    </w:p>
    <w:p w:rsidR="005E4A91" w:rsidRPr="005E4A91" w:rsidRDefault="005E4A91" w:rsidP="005E4A91">
      <w:pPr>
        <w:ind w:firstLine="708"/>
        <w:jc w:val="center"/>
        <w:rPr>
          <w:rFonts w:cstheme="minorHAnsi"/>
          <w:b/>
          <w:sz w:val="24"/>
          <w:szCs w:val="24"/>
        </w:rPr>
      </w:pPr>
    </w:p>
    <w:p w:rsidR="005E4A91" w:rsidRPr="005E4A91" w:rsidRDefault="005E4A91" w:rsidP="005E4A91">
      <w:pPr>
        <w:spacing w:line="276" w:lineRule="auto"/>
        <w:jc w:val="both"/>
        <w:rPr>
          <w:rFonts w:cstheme="minorHAnsi"/>
          <w:sz w:val="24"/>
          <w:szCs w:val="24"/>
          <w:shd w:val="clear" w:color="auto" w:fill="FFFFFF"/>
        </w:rPr>
      </w:pPr>
      <w:r>
        <w:rPr>
          <w:rFonts w:cstheme="minorHAnsi"/>
          <w:sz w:val="24"/>
          <w:szCs w:val="24"/>
        </w:rPr>
        <w:tab/>
      </w:r>
      <w:r w:rsidRPr="005E4A91">
        <w:rPr>
          <w:rFonts w:cstheme="minorHAnsi"/>
          <w:sz w:val="24"/>
          <w:szCs w:val="24"/>
        </w:rPr>
        <w:t xml:space="preserve">O instanţă naţională a unui stat membru al Uniunii Europene este sesizată cu o acţiune introdusă de Banca X împotriva unui act prin care a fost sancţionată de Autoritatea Naţională pentru Protecţia Consumatorilor. Banca a fost sancţionată pentru că nu a aplicat în mod corespunzător dispoziţiile legii naţionale de transpunere a Directivei 2008/48 privind contractele de credit pentru consumatori. În fapt, legea naţională de transpunere a extins domeniul de aplicare al directivei nu doar la contractele expres prevăzute de aceasta, dar şi la unele contracte excluse expres din câmpul de aplicare al directivei, respectiv la contracte avute în vedere de directivă, dar încheiate anterior intrării în vigoare a legii naţionale şi care </w:t>
      </w:r>
      <w:r w:rsidRPr="005E4A91">
        <w:rPr>
          <w:rFonts w:cstheme="minorHAnsi"/>
          <w:sz w:val="24"/>
          <w:szCs w:val="24"/>
          <w:shd w:val="clear" w:color="auto" w:fill="FFFFFF"/>
        </w:rPr>
        <w:t xml:space="preserve">erau în derulare la data intrării în vigoare a acesteia. </w:t>
      </w:r>
    </w:p>
    <w:p w:rsidR="005E4A91" w:rsidRPr="005E4A91" w:rsidRDefault="005E4A91" w:rsidP="005E4A91">
      <w:pPr>
        <w:spacing w:line="276" w:lineRule="auto"/>
        <w:jc w:val="both"/>
        <w:rPr>
          <w:rFonts w:cstheme="minorHAnsi"/>
          <w:sz w:val="24"/>
          <w:szCs w:val="24"/>
        </w:rPr>
      </w:pPr>
      <w:r>
        <w:rPr>
          <w:rFonts w:cstheme="minorHAnsi"/>
          <w:sz w:val="24"/>
          <w:szCs w:val="24"/>
          <w:shd w:val="clear" w:color="auto" w:fill="FFFFFF"/>
        </w:rPr>
        <w:tab/>
      </w:r>
      <w:r w:rsidRPr="005E4A91">
        <w:rPr>
          <w:rFonts w:cstheme="minorHAnsi"/>
          <w:sz w:val="24"/>
          <w:szCs w:val="24"/>
          <w:shd w:val="clear" w:color="auto" w:fill="FFFFFF"/>
        </w:rPr>
        <w:t xml:space="preserve">Solicitând anularea actului </w:t>
      </w:r>
      <w:r w:rsidRPr="005E4A91">
        <w:rPr>
          <w:rFonts w:cstheme="minorHAnsi"/>
          <w:sz w:val="24"/>
          <w:szCs w:val="24"/>
        </w:rPr>
        <w:t xml:space="preserve">prin care a fost sancţionată de Autoritatea Naţională pentru Protecţia Consumatorilor, Banca X susţine că legea naţională de transpunere trebuie să fie întrutotul conformă cu directiva, neconformitatea neputând să fie invocată de Statul Membru, prin autorităţile sale (în speţă, Autoritatea Naţională pentru Protecţia Consumatorilor) împotriva particularilor (în speţă, Banca X). Cu atât mai puţin acceptabil, în opinia Băncii X, este ca particularii să fie sancţionaţi de către statul membru pentru că s-au conformat directivei, iar nu legii naţionale care nu este conformă cu aceasta. În apărare, Autoritatea Naţională pentru Protecţia Consumatorilor susţine că directiva în discuţie are ca obiect protecţia consumatorilor, instituind un standard minimal, pe care statele membre îl pot depăşi, respectiv că, </w:t>
      </w:r>
      <w:r w:rsidRPr="005E4A91">
        <w:rPr>
          <w:rFonts w:cstheme="minorHAnsi"/>
          <w:i/>
          <w:sz w:val="24"/>
          <w:szCs w:val="24"/>
        </w:rPr>
        <w:t>stricto sensu</w:t>
      </w:r>
      <w:r w:rsidRPr="005E4A91">
        <w:rPr>
          <w:rFonts w:cstheme="minorHAnsi"/>
          <w:sz w:val="24"/>
          <w:szCs w:val="24"/>
        </w:rPr>
        <w:t>, nu se poate susţine că vreo dispoziţie din directivă s-ar opune ca prin legea naţională de transpunere şi consumatorii care au încheiat alte contracte decât cele pe care directiva le menţionează expres să se bucure de regimul de protecţie instituit de aceasta.</w:t>
      </w:r>
    </w:p>
    <w:p w:rsidR="005E4A91" w:rsidRPr="005E4A91" w:rsidRDefault="005E4A91" w:rsidP="005E4A91">
      <w:pPr>
        <w:pStyle w:val="ListParagraph"/>
        <w:numPr>
          <w:ilvl w:val="0"/>
          <w:numId w:val="13"/>
        </w:numPr>
        <w:spacing w:after="160"/>
        <w:jc w:val="both"/>
        <w:rPr>
          <w:rFonts w:cstheme="minorHAnsi"/>
          <w:b/>
          <w:sz w:val="24"/>
          <w:szCs w:val="24"/>
        </w:rPr>
      </w:pPr>
      <w:r w:rsidRPr="005E4A91">
        <w:rPr>
          <w:rFonts w:cstheme="minorHAnsi"/>
          <w:b/>
          <w:sz w:val="24"/>
          <w:szCs w:val="24"/>
        </w:rPr>
        <w:t>Definiţi directiva ca izvor de drept derivat al instituţiilor Uniunii Europene.</w:t>
      </w:r>
    </w:p>
    <w:p w:rsidR="005E4A91" w:rsidRPr="005E4A91" w:rsidRDefault="005E4A91" w:rsidP="005E4A91">
      <w:pPr>
        <w:pStyle w:val="ListParagraph"/>
        <w:numPr>
          <w:ilvl w:val="0"/>
          <w:numId w:val="13"/>
        </w:numPr>
        <w:spacing w:after="160"/>
        <w:jc w:val="both"/>
        <w:rPr>
          <w:rFonts w:cstheme="minorHAnsi"/>
          <w:b/>
          <w:sz w:val="24"/>
          <w:szCs w:val="24"/>
        </w:rPr>
      </w:pPr>
      <w:r w:rsidRPr="005E4A91">
        <w:rPr>
          <w:rFonts w:cstheme="minorHAnsi"/>
          <w:b/>
          <w:sz w:val="24"/>
          <w:szCs w:val="24"/>
        </w:rPr>
        <w:t>Care este regimul de invocabilitate al directivei?</w:t>
      </w:r>
    </w:p>
    <w:p w:rsidR="005E4A91" w:rsidRPr="005E4A91" w:rsidRDefault="005E4A91" w:rsidP="005E4A91">
      <w:pPr>
        <w:pStyle w:val="ListParagraph"/>
        <w:numPr>
          <w:ilvl w:val="0"/>
          <w:numId w:val="13"/>
        </w:numPr>
        <w:spacing w:after="160"/>
        <w:jc w:val="both"/>
        <w:rPr>
          <w:rFonts w:cstheme="minorHAnsi"/>
          <w:b/>
          <w:sz w:val="24"/>
          <w:szCs w:val="24"/>
        </w:rPr>
      </w:pPr>
      <w:r w:rsidRPr="005E4A91">
        <w:rPr>
          <w:rFonts w:cstheme="minorHAnsi"/>
          <w:b/>
          <w:sz w:val="24"/>
          <w:szCs w:val="24"/>
        </w:rPr>
        <w:t>Analizaţi susţinerile părţilor din perspectiva caracteristicilor directivei ca act de drept derivat.</w:t>
      </w:r>
    </w:p>
    <w:p w:rsidR="005E4A91" w:rsidRPr="00984DD7" w:rsidRDefault="005E4A91" w:rsidP="005E4A91">
      <w:pPr>
        <w:pStyle w:val="ListParagraph"/>
        <w:numPr>
          <w:ilvl w:val="0"/>
          <w:numId w:val="13"/>
        </w:numPr>
        <w:spacing w:after="160"/>
        <w:jc w:val="both"/>
        <w:rPr>
          <w:rFonts w:cstheme="minorHAnsi"/>
          <w:b/>
          <w:i/>
        </w:rPr>
      </w:pPr>
      <w:r w:rsidRPr="005E4A91">
        <w:rPr>
          <w:rFonts w:cstheme="minorHAnsi"/>
          <w:b/>
          <w:sz w:val="24"/>
          <w:szCs w:val="24"/>
        </w:rPr>
        <w:t>Care este soluţia pe care ar trebui să o pronunţe în speţă instanţa naţională</w:t>
      </w:r>
      <w:r w:rsidRPr="00984DD7">
        <w:rPr>
          <w:rFonts w:cstheme="minorHAnsi"/>
          <w:b/>
          <w:i/>
        </w:rPr>
        <w:t>?</w:t>
      </w:r>
    </w:p>
    <w:p w:rsidR="000C3691" w:rsidRDefault="000C3691" w:rsidP="000C3691">
      <w:pPr>
        <w:rPr>
          <w:rFonts w:asciiTheme="minorHAnsi" w:hAnsiTheme="minorHAnsi" w:cstheme="minorHAnsi"/>
          <w:sz w:val="24"/>
          <w:szCs w:val="24"/>
        </w:rPr>
      </w:pPr>
    </w:p>
    <w:p w:rsidR="005E4A91" w:rsidRPr="009D3C77" w:rsidRDefault="005E4A91" w:rsidP="000C3691">
      <w:pPr>
        <w:rPr>
          <w:rFonts w:asciiTheme="minorHAnsi" w:hAnsiTheme="minorHAnsi" w:cstheme="minorHAnsi"/>
          <w:sz w:val="24"/>
          <w:szCs w:val="24"/>
        </w:rPr>
      </w:pPr>
    </w:p>
    <w:p w:rsidR="000C3691" w:rsidRPr="009D3C77" w:rsidRDefault="000C3691" w:rsidP="000C3691">
      <w:pPr>
        <w:pStyle w:val="Header"/>
        <w:jc w:val="center"/>
        <w:rPr>
          <w:rFonts w:asciiTheme="minorHAnsi" w:hAnsiTheme="minorHAnsi" w:cstheme="minorHAnsi"/>
          <w:b/>
          <w:sz w:val="24"/>
          <w:szCs w:val="24"/>
        </w:rPr>
      </w:pPr>
    </w:p>
    <w:p w:rsidR="000C3691" w:rsidRPr="009D3C77" w:rsidRDefault="0086161D" w:rsidP="000C3691">
      <w:pPr>
        <w:pStyle w:val="Header"/>
        <w:jc w:val="center"/>
        <w:rPr>
          <w:rFonts w:asciiTheme="minorHAnsi" w:hAnsiTheme="minorHAnsi" w:cstheme="minorHAnsi"/>
          <w:b/>
          <w:sz w:val="24"/>
          <w:szCs w:val="24"/>
        </w:rPr>
      </w:pPr>
      <w:r w:rsidRPr="009D3C77">
        <w:rPr>
          <w:rFonts w:asciiTheme="minorHAnsi" w:hAnsiTheme="minorHAnsi" w:cstheme="minorHAnsi"/>
          <w:b/>
          <w:sz w:val="24"/>
          <w:szCs w:val="24"/>
        </w:rPr>
        <w:lastRenderedPageBreak/>
        <w:t>Lucrarea</w:t>
      </w:r>
      <w:r w:rsidR="00AE4074" w:rsidRPr="009D3C77">
        <w:rPr>
          <w:rFonts w:asciiTheme="minorHAnsi" w:hAnsiTheme="minorHAnsi" w:cstheme="minorHAnsi"/>
          <w:b/>
          <w:sz w:val="24"/>
          <w:szCs w:val="24"/>
        </w:rPr>
        <w:t xml:space="preserve"> </w:t>
      </w:r>
      <w:r w:rsidR="005E4A91">
        <w:rPr>
          <w:rFonts w:asciiTheme="minorHAnsi" w:hAnsiTheme="minorHAnsi" w:cstheme="minorHAnsi"/>
          <w:b/>
          <w:sz w:val="24"/>
          <w:szCs w:val="24"/>
        </w:rPr>
        <w:t>profesională nr. 3</w:t>
      </w:r>
    </w:p>
    <w:p w:rsidR="000C3691" w:rsidRPr="009D3C77" w:rsidRDefault="000C3691" w:rsidP="000C3691">
      <w:pPr>
        <w:pStyle w:val="Header"/>
        <w:jc w:val="center"/>
        <w:rPr>
          <w:rFonts w:asciiTheme="minorHAnsi" w:hAnsiTheme="minorHAnsi" w:cstheme="minorHAnsi"/>
          <w:b/>
          <w:sz w:val="24"/>
          <w:szCs w:val="24"/>
        </w:rPr>
      </w:pPr>
    </w:p>
    <w:p w:rsidR="000C3691" w:rsidRPr="009D3C77" w:rsidRDefault="000C3691" w:rsidP="000C3691">
      <w:pPr>
        <w:ind w:firstLine="708"/>
        <w:jc w:val="both"/>
        <w:rPr>
          <w:rFonts w:asciiTheme="minorHAnsi" w:hAnsiTheme="minorHAnsi" w:cstheme="minorHAnsi"/>
          <w:sz w:val="24"/>
          <w:szCs w:val="24"/>
        </w:rPr>
      </w:pPr>
      <w:r w:rsidRPr="009D3C77">
        <w:rPr>
          <w:rFonts w:asciiTheme="minorHAnsi" w:hAnsiTheme="minorHAnsi" w:cstheme="minorHAnsi"/>
          <w:sz w:val="24"/>
          <w:szCs w:val="24"/>
        </w:rPr>
        <w:t xml:space="preserve">Statul X este stat membru al Uniunii Europene. În această calitate, el a transpus o directivă europeană care reglementează modul în care se poate face publicitate produselor alcoolice. Asociaţia ”O viaţă fără alcool”, resortisant al statului X, apreciază că statul nu şi-a îndeplinit obligaţiile care îi revin ca membru al Uniunii Europene, întrucât directiva a fost transpusă în mod incorect şi sesizează printr-o plângere Comisia Europeană. </w:t>
      </w:r>
    </w:p>
    <w:p w:rsidR="000C3691" w:rsidRPr="009D3C77" w:rsidRDefault="000C3691" w:rsidP="000C3691">
      <w:pPr>
        <w:ind w:firstLine="708"/>
        <w:jc w:val="both"/>
        <w:rPr>
          <w:rFonts w:asciiTheme="minorHAnsi" w:hAnsiTheme="minorHAnsi" w:cstheme="minorHAnsi"/>
          <w:sz w:val="24"/>
          <w:szCs w:val="24"/>
        </w:rPr>
      </w:pPr>
      <w:r w:rsidRPr="009D3C77">
        <w:rPr>
          <w:rFonts w:asciiTheme="minorHAnsi" w:hAnsiTheme="minorHAnsi" w:cstheme="minorHAnsi"/>
          <w:sz w:val="24"/>
          <w:szCs w:val="24"/>
        </w:rPr>
        <w:t xml:space="preserve">Comisia angajează negocieri cu statul X, în scopul de a-i da acestuia posibilitatea să îşi prezinte observaţiile faţă de afirmaţiile de neîndeplinire a obligaţiilor de drept unional. La finalul negocierilor, Comisia emite un aviz motivat prin care îşi exprimă opinia că statul X nu şi-a îndeplinit obligaţiile de transpunere a directivei menţionate, în principal dat fiind că mărimea caracterelor care pot fi utilizate în publicitatea scrisă a produselor alcoolice nu respectă standardele impuse de directivă. Sub forma unor recomandări, Comisia îi indică statului X felul în care ar trebui să înlăture neconformitatea între conduita sa şi obligaţiile de drept unional care îi revin, respectiv termenul în care ar trebuie să se conformeze recomandărilor din aviz. </w:t>
      </w:r>
    </w:p>
    <w:p w:rsidR="000C3691" w:rsidRPr="009D3C77" w:rsidRDefault="000C3691" w:rsidP="000C3691">
      <w:pPr>
        <w:ind w:firstLine="708"/>
        <w:jc w:val="both"/>
        <w:rPr>
          <w:rFonts w:asciiTheme="minorHAnsi" w:hAnsiTheme="minorHAnsi" w:cstheme="minorHAnsi"/>
          <w:sz w:val="24"/>
          <w:szCs w:val="24"/>
        </w:rPr>
      </w:pPr>
      <w:r w:rsidRPr="009D3C77">
        <w:rPr>
          <w:rFonts w:asciiTheme="minorHAnsi" w:hAnsiTheme="minorHAnsi" w:cstheme="minorHAnsi"/>
          <w:sz w:val="24"/>
          <w:szCs w:val="24"/>
        </w:rPr>
        <w:t>La expirarea acestui termen, Comisia sesizează Curtea de Justiţie a Uniunii Europene. Pentru a-şi susţine cererea, în faţa Curţii, Comisia remarcă şi faptul că legislaţia internă a statului X permite publicitatea produselor alcoolice la orice canal de televiziune, indiferent de destinatarii ţintă ai acestuia, contravenind în acest mod directivei. Surprins de avizul Comisiei, ca şi de poziţia acesteia în faţa Curţii, statul X se mulţumeşte, totuşi, să invoce doar unele neregularităţi procedurale. Printr-un comunicat naţional de presă, el declară, de asemenea, că va refuza să pună în executare o eventuală decizie a Curţii de Justiţie a Uniunii Europene, nefavorabilă în ceea ce îl priveşte.</w:t>
      </w:r>
    </w:p>
    <w:p w:rsidR="000C3691" w:rsidRPr="009D3C77" w:rsidRDefault="000C3691" w:rsidP="000C3691">
      <w:pPr>
        <w:jc w:val="both"/>
        <w:rPr>
          <w:rFonts w:asciiTheme="minorHAnsi" w:hAnsiTheme="minorHAnsi" w:cstheme="minorHAnsi"/>
          <w:sz w:val="24"/>
          <w:szCs w:val="24"/>
        </w:rPr>
      </w:pPr>
    </w:p>
    <w:p w:rsidR="000C3691" w:rsidRPr="009D3C77" w:rsidRDefault="000C3691" w:rsidP="000C3691">
      <w:pPr>
        <w:ind w:firstLine="708"/>
        <w:jc w:val="both"/>
        <w:rPr>
          <w:rFonts w:asciiTheme="minorHAnsi" w:hAnsiTheme="minorHAnsi" w:cstheme="minorHAnsi"/>
          <w:b/>
          <w:sz w:val="24"/>
          <w:szCs w:val="24"/>
        </w:rPr>
      </w:pPr>
      <w:r w:rsidRPr="009D3C77">
        <w:rPr>
          <w:rFonts w:asciiTheme="minorHAnsi" w:hAnsiTheme="minorHAnsi" w:cstheme="minorHAnsi"/>
          <w:b/>
          <w:sz w:val="24"/>
          <w:szCs w:val="24"/>
        </w:rPr>
        <w:t>1</w:t>
      </w:r>
      <w:r w:rsidR="009D3C77">
        <w:rPr>
          <w:rFonts w:asciiTheme="minorHAnsi" w:hAnsiTheme="minorHAnsi" w:cstheme="minorHAnsi"/>
          <w:b/>
          <w:sz w:val="24"/>
          <w:szCs w:val="24"/>
        </w:rPr>
        <w:t>.</w:t>
      </w:r>
      <w:r w:rsidRPr="009D3C77">
        <w:rPr>
          <w:rFonts w:asciiTheme="minorHAnsi" w:hAnsiTheme="minorHAnsi" w:cstheme="minorHAnsi"/>
          <w:b/>
          <w:sz w:val="24"/>
          <w:szCs w:val="24"/>
        </w:rPr>
        <w:t xml:space="preserve"> Precizaţi care este poziţia Comisiei Europene între instituţiile Uniunii Europene şi cel puţin două atribuţii ale acesteia.</w:t>
      </w:r>
    </w:p>
    <w:p w:rsidR="000C3691" w:rsidRPr="009D3C77" w:rsidRDefault="00AE4074" w:rsidP="000C3691">
      <w:pPr>
        <w:ind w:firstLine="708"/>
        <w:jc w:val="both"/>
        <w:rPr>
          <w:rFonts w:asciiTheme="minorHAnsi" w:hAnsiTheme="minorHAnsi" w:cstheme="minorHAnsi"/>
          <w:b/>
          <w:sz w:val="24"/>
          <w:szCs w:val="24"/>
        </w:rPr>
      </w:pPr>
      <w:r w:rsidRPr="009D3C77">
        <w:rPr>
          <w:rFonts w:asciiTheme="minorHAnsi" w:hAnsiTheme="minorHAnsi" w:cstheme="minorHAnsi"/>
          <w:b/>
          <w:sz w:val="24"/>
          <w:szCs w:val="24"/>
        </w:rPr>
        <w:t>2</w:t>
      </w:r>
      <w:r w:rsidR="000C3691" w:rsidRPr="009D3C77">
        <w:rPr>
          <w:rFonts w:asciiTheme="minorHAnsi" w:hAnsiTheme="minorHAnsi" w:cstheme="minorHAnsi"/>
          <w:b/>
          <w:sz w:val="24"/>
          <w:szCs w:val="24"/>
        </w:rPr>
        <w:t>. Cum se numeşte procedura descrisă în speţă şi ce rol au, în principiu, în cadrul ei particularii (precum Asociaţia ”O viaţă fără alcool”), Comisia Europeană, statul membru şi, respectiv, Curtea de Justiţie a Uniunii Europene?</w:t>
      </w:r>
    </w:p>
    <w:p w:rsidR="000C3691" w:rsidRPr="009D3C77" w:rsidRDefault="00AE4074" w:rsidP="000C3691">
      <w:pPr>
        <w:ind w:firstLine="708"/>
        <w:jc w:val="both"/>
        <w:rPr>
          <w:rFonts w:asciiTheme="minorHAnsi" w:hAnsiTheme="minorHAnsi" w:cstheme="minorHAnsi"/>
          <w:b/>
          <w:sz w:val="24"/>
          <w:szCs w:val="24"/>
        </w:rPr>
      </w:pPr>
      <w:r w:rsidRPr="009D3C77">
        <w:rPr>
          <w:rFonts w:asciiTheme="minorHAnsi" w:hAnsiTheme="minorHAnsi" w:cstheme="minorHAnsi"/>
          <w:b/>
          <w:sz w:val="24"/>
          <w:szCs w:val="24"/>
        </w:rPr>
        <w:t>3</w:t>
      </w:r>
      <w:r w:rsidR="000C3691" w:rsidRPr="009D3C77">
        <w:rPr>
          <w:rFonts w:asciiTheme="minorHAnsi" w:hAnsiTheme="minorHAnsi" w:cstheme="minorHAnsi"/>
          <w:b/>
          <w:sz w:val="24"/>
          <w:szCs w:val="24"/>
        </w:rPr>
        <w:t>. Ce neregularităţi de procedură ar putea avea în vedere (şi, deci, invoca în faţa Curţii de Justiţie a Uniunii Europene) Statul X ?</w:t>
      </w:r>
    </w:p>
    <w:p w:rsidR="000C3691" w:rsidRPr="009D3C77" w:rsidRDefault="00AE4074" w:rsidP="000C3691">
      <w:pPr>
        <w:ind w:firstLine="708"/>
        <w:jc w:val="both"/>
        <w:rPr>
          <w:rFonts w:asciiTheme="minorHAnsi" w:hAnsiTheme="minorHAnsi" w:cstheme="minorHAnsi"/>
          <w:b/>
          <w:sz w:val="24"/>
          <w:szCs w:val="24"/>
        </w:rPr>
      </w:pPr>
      <w:r w:rsidRPr="009D3C77">
        <w:rPr>
          <w:rFonts w:asciiTheme="minorHAnsi" w:hAnsiTheme="minorHAnsi" w:cstheme="minorHAnsi"/>
          <w:b/>
          <w:sz w:val="24"/>
          <w:szCs w:val="24"/>
        </w:rPr>
        <w:t>4</w:t>
      </w:r>
      <w:r w:rsidR="000C3691" w:rsidRPr="009D3C77">
        <w:rPr>
          <w:rFonts w:asciiTheme="minorHAnsi" w:hAnsiTheme="minorHAnsi" w:cstheme="minorHAnsi"/>
          <w:b/>
          <w:sz w:val="24"/>
          <w:szCs w:val="24"/>
        </w:rPr>
        <w:t>. Ce riscă Statul X dacă refuză să pună în executare o eventuală decizie a Curţii de Justiţie a Uniunii Europene, nefavorabilă în ceea ce îl priveşte?</w:t>
      </w:r>
    </w:p>
    <w:p w:rsidR="000C3691" w:rsidRPr="009D3C77" w:rsidRDefault="000C3691" w:rsidP="000C3691">
      <w:pPr>
        <w:pStyle w:val="Header"/>
        <w:rPr>
          <w:rFonts w:asciiTheme="minorHAnsi" w:hAnsiTheme="minorHAnsi" w:cstheme="minorHAnsi"/>
          <w:b/>
          <w:sz w:val="24"/>
          <w:szCs w:val="24"/>
        </w:rPr>
      </w:pPr>
    </w:p>
    <w:p w:rsidR="000C3691" w:rsidRPr="009D3C77" w:rsidRDefault="000C3691" w:rsidP="000C3691">
      <w:pPr>
        <w:pStyle w:val="Header"/>
        <w:jc w:val="center"/>
        <w:rPr>
          <w:rFonts w:asciiTheme="minorHAnsi" w:hAnsiTheme="minorHAnsi" w:cstheme="minorHAnsi"/>
          <w:b/>
          <w:sz w:val="24"/>
          <w:szCs w:val="24"/>
        </w:rPr>
      </w:pPr>
    </w:p>
    <w:p w:rsidR="000C3691" w:rsidRPr="009D3C77" w:rsidRDefault="000C3691" w:rsidP="000C3691">
      <w:pPr>
        <w:pStyle w:val="Header"/>
        <w:jc w:val="center"/>
        <w:rPr>
          <w:rFonts w:asciiTheme="minorHAnsi" w:hAnsiTheme="minorHAnsi" w:cstheme="minorHAnsi"/>
          <w:b/>
          <w:sz w:val="24"/>
          <w:szCs w:val="24"/>
        </w:rPr>
      </w:pPr>
    </w:p>
    <w:p w:rsidR="00E379C3" w:rsidRDefault="00E379C3">
      <w:pPr>
        <w:spacing w:after="160" w:line="259" w:lineRule="auto"/>
        <w:rPr>
          <w:rFonts w:ascii="Arial" w:hAnsi="Arial" w:cs="Arial"/>
          <w:b/>
        </w:rPr>
      </w:pPr>
      <w:r>
        <w:rPr>
          <w:rFonts w:ascii="Arial" w:hAnsi="Arial" w:cs="Arial"/>
          <w:b/>
        </w:rPr>
        <w:br w:type="page"/>
      </w:r>
    </w:p>
    <w:p w:rsidR="005E4A91" w:rsidRDefault="005E4A91" w:rsidP="005E4A91">
      <w:pPr>
        <w:autoSpaceDE w:val="0"/>
        <w:autoSpaceDN w:val="0"/>
        <w:adjustRightInd w:val="0"/>
        <w:rPr>
          <w:rFonts w:ascii="Arial" w:hAnsi="Arial" w:cs="Arial"/>
          <w:b/>
        </w:rPr>
      </w:pPr>
      <w:r>
        <w:rPr>
          <w:rFonts w:ascii="Arial" w:hAnsi="Arial" w:cs="Arial"/>
          <w:b/>
        </w:rPr>
        <w:lastRenderedPageBreak/>
        <w:t>DISCIPLINA I</w:t>
      </w:r>
      <w:r w:rsidR="00E379C3">
        <w:rPr>
          <w:rFonts w:ascii="Arial" w:hAnsi="Arial" w:cs="Arial"/>
          <w:b/>
        </w:rPr>
        <w:t>I</w:t>
      </w:r>
      <w:r>
        <w:rPr>
          <w:rFonts w:ascii="Arial" w:hAnsi="Arial" w:cs="Arial"/>
          <w:b/>
        </w:rPr>
        <w:t xml:space="preserve"> – DREPTUL </w:t>
      </w:r>
      <w:r w:rsidR="00E379C3">
        <w:rPr>
          <w:rFonts w:ascii="Arial" w:hAnsi="Arial" w:cs="Arial"/>
          <w:b/>
        </w:rPr>
        <w:t>EUROPEAN AL DREPTURILOR OMULUI</w:t>
      </w:r>
    </w:p>
    <w:p w:rsidR="00E379C3" w:rsidRPr="005E4A91" w:rsidRDefault="00E379C3" w:rsidP="005E4A91">
      <w:pPr>
        <w:autoSpaceDE w:val="0"/>
        <w:autoSpaceDN w:val="0"/>
        <w:adjustRightInd w:val="0"/>
        <w:rPr>
          <w:rFonts w:ascii="Arial" w:hAnsi="Arial" w:cs="Arial"/>
          <w:sz w:val="24"/>
          <w:szCs w:val="24"/>
        </w:rPr>
      </w:pPr>
    </w:p>
    <w:p w:rsidR="000C3691" w:rsidRPr="009D3C77" w:rsidRDefault="0086161D" w:rsidP="000C3691">
      <w:pPr>
        <w:pStyle w:val="Header"/>
        <w:jc w:val="center"/>
        <w:rPr>
          <w:rFonts w:asciiTheme="minorHAnsi" w:hAnsiTheme="minorHAnsi" w:cstheme="minorHAnsi"/>
          <w:b/>
          <w:sz w:val="24"/>
          <w:szCs w:val="24"/>
        </w:rPr>
      </w:pPr>
      <w:r w:rsidRPr="009D3C77">
        <w:rPr>
          <w:rFonts w:asciiTheme="minorHAnsi" w:hAnsiTheme="minorHAnsi" w:cstheme="minorHAnsi"/>
          <w:b/>
          <w:sz w:val="24"/>
          <w:szCs w:val="24"/>
        </w:rPr>
        <w:t>Lucrarea</w:t>
      </w:r>
      <w:r w:rsidR="00E379C3">
        <w:rPr>
          <w:rFonts w:asciiTheme="minorHAnsi" w:hAnsiTheme="minorHAnsi" w:cstheme="minorHAnsi"/>
          <w:b/>
          <w:sz w:val="24"/>
          <w:szCs w:val="24"/>
        </w:rPr>
        <w:t xml:space="preserve"> profesională nr. 1</w:t>
      </w:r>
    </w:p>
    <w:p w:rsidR="000C3691" w:rsidRPr="009D3C77" w:rsidRDefault="000C3691" w:rsidP="000C3691">
      <w:pPr>
        <w:jc w:val="center"/>
        <w:rPr>
          <w:rFonts w:asciiTheme="minorHAnsi" w:hAnsiTheme="minorHAnsi" w:cstheme="minorHAnsi"/>
          <w:sz w:val="24"/>
          <w:szCs w:val="24"/>
        </w:rPr>
      </w:pPr>
    </w:p>
    <w:p w:rsidR="00E379C3" w:rsidRPr="00101B64" w:rsidRDefault="00E379C3" w:rsidP="00E379C3">
      <w:pPr>
        <w:jc w:val="both"/>
        <w:rPr>
          <w:rFonts w:asciiTheme="minorHAnsi" w:hAnsiTheme="minorHAnsi" w:cstheme="minorHAnsi"/>
          <w:sz w:val="24"/>
          <w:szCs w:val="24"/>
        </w:rPr>
      </w:pPr>
      <w:r w:rsidRPr="00101B64">
        <w:rPr>
          <w:rFonts w:asciiTheme="minorHAnsi" w:hAnsiTheme="minorHAnsi" w:cstheme="minorHAnsi"/>
          <w:sz w:val="24"/>
          <w:szCs w:val="24"/>
        </w:rPr>
        <w:t>Soren lucrează de douăzeci de ani ca bucătar într-o școală publică locală</w:t>
      </w:r>
      <w:r>
        <w:rPr>
          <w:rFonts w:asciiTheme="minorHAnsi" w:hAnsiTheme="minorHAnsi" w:cstheme="minorHAnsi"/>
          <w:sz w:val="24"/>
          <w:szCs w:val="24"/>
        </w:rPr>
        <w:t xml:space="preserve"> dintr-un stat membru al Consiliului Europei şi al al Uniunii Europene. </w:t>
      </w:r>
    </w:p>
    <w:p w:rsidR="00E379C3" w:rsidRDefault="00E379C3" w:rsidP="00E379C3">
      <w:pPr>
        <w:jc w:val="both"/>
        <w:rPr>
          <w:rFonts w:asciiTheme="minorHAnsi" w:hAnsiTheme="minorHAnsi" w:cstheme="minorHAnsi"/>
          <w:sz w:val="24"/>
          <w:szCs w:val="24"/>
        </w:rPr>
      </w:pPr>
    </w:p>
    <w:p w:rsidR="00E379C3" w:rsidRPr="00101B64" w:rsidRDefault="00E379C3" w:rsidP="00E379C3">
      <w:pPr>
        <w:jc w:val="both"/>
        <w:rPr>
          <w:rFonts w:asciiTheme="minorHAnsi" w:hAnsiTheme="minorHAnsi" w:cstheme="minorHAnsi"/>
          <w:sz w:val="24"/>
          <w:szCs w:val="24"/>
        </w:rPr>
      </w:pPr>
      <w:r w:rsidRPr="00101B64">
        <w:rPr>
          <w:rFonts w:asciiTheme="minorHAnsi" w:hAnsiTheme="minorHAnsi" w:cstheme="minorHAnsi"/>
          <w:sz w:val="24"/>
          <w:szCs w:val="24"/>
        </w:rPr>
        <w:t xml:space="preserve">Soren a fost descris ca suferind de obezitate severă. Cu o anumită ocazie, în timpul unui control medical regulat obligatoriu pentru persoanele care lucrează în sectorul alimentar public, obezitatea sa a fost încadrată în sensul definiției date de Organizația Mondială a Sănătății (obezitatea fiind înregistrată sub codul E66 din „Clasificarea statistică internațională a bolilor și a problemelor de sănătate înrudite”). Starea lui Soren a continuat să se înrăutățească în timp, deși au existat și perioade în care el a făcut exerciții fizice intermitent în sala de fitness locală și a scăzut în greutate. </w:t>
      </w:r>
    </w:p>
    <w:p w:rsidR="00E379C3" w:rsidRPr="00101B64" w:rsidRDefault="00E379C3" w:rsidP="00E379C3">
      <w:pPr>
        <w:jc w:val="both"/>
        <w:rPr>
          <w:rFonts w:asciiTheme="minorHAnsi" w:hAnsiTheme="minorHAnsi" w:cstheme="minorHAnsi"/>
          <w:sz w:val="24"/>
          <w:szCs w:val="24"/>
        </w:rPr>
      </w:pPr>
    </w:p>
    <w:p w:rsidR="00E379C3" w:rsidRPr="00101B64" w:rsidRDefault="00E379C3" w:rsidP="00E379C3">
      <w:pPr>
        <w:jc w:val="both"/>
        <w:rPr>
          <w:rFonts w:asciiTheme="minorHAnsi" w:hAnsiTheme="minorHAnsi" w:cstheme="minorHAnsi"/>
          <w:sz w:val="24"/>
          <w:szCs w:val="24"/>
        </w:rPr>
      </w:pPr>
      <w:r w:rsidRPr="00101B64">
        <w:rPr>
          <w:rFonts w:asciiTheme="minorHAnsi" w:hAnsiTheme="minorHAnsi" w:cstheme="minorHAnsi"/>
          <w:sz w:val="24"/>
          <w:szCs w:val="24"/>
        </w:rPr>
        <w:t>În 2010, Soren a solicitat în scris ca angajatorul său, Școala, să-i reamenajeze locul de muncă în bucătărie, pentru a-i permite să continue să lucreze în acel spațiu relativ limitat. Administrația școlii a refuzat inițial, argumentând că bucătăria școlii este amenajată pentru a respecta standardele naționale exigente privind igiena și că ar fi prea dificil să se schimbe amenajarea. Ulterior, administrația școlii a reanalizat solicitarea și a făcut modificările solicitate de Soren, care au costat 2.000 EUR.</w:t>
      </w:r>
    </w:p>
    <w:p w:rsidR="00E379C3" w:rsidRPr="00101B64" w:rsidRDefault="00E379C3" w:rsidP="00E379C3">
      <w:pPr>
        <w:jc w:val="both"/>
        <w:rPr>
          <w:rFonts w:asciiTheme="minorHAnsi" w:hAnsiTheme="minorHAnsi" w:cstheme="minorHAnsi"/>
          <w:sz w:val="24"/>
          <w:szCs w:val="24"/>
        </w:rPr>
      </w:pPr>
    </w:p>
    <w:p w:rsidR="00E379C3" w:rsidRPr="00101B64" w:rsidRDefault="00E379C3" w:rsidP="00E379C3">
      <w:pPr>
        <w:jc w:val="both"/>
        <w:rPr>
          <w:rFonts w:asciiTheme="minorHAnsi" w:hAnsiTheme="minorHAnsi" w:cstheme="minorHAnsi"/>
          <w:sz w:val="24"/>
          <w:szCs w:val="24"/>
        </w:rPr>
      </w:pPr>
      <w:r w:rsidRPr="00101B64">
        <w:rPr>
          <w:rFonts w:asciiTheme="minorHAnsi" w:hAnsiTheme="minorHAnsi" w:cstheme="minorHAnsi"/>
          <w:sz w:val="24"/>
          <w:szCs w:val="24"/>
        </w:rPr>
        <w:t>În 2012, Soren a depus o cerere similară cu alte propuneri privind modul în care ar trebui reamenajat locul său de muncă. De data aceasta, Școala a refuzat să le îndeplinească.</w:t>
      </w:r>
    </w:p>
    <w:p w:rsidR="00E379C3" w:rsidRPr="00101B64" w:rsidRDefault="00E379C3" w:rsidP="00E379C3">
      <w:pPr>
        <w:jc w:val="both"/>
        <w:rPr>
          <w:rFonts w:asciiTheme="minorHAnsi" w:hAnsiTheme="minorHAnsi" w:cstheme="minorHAnsi"/>
          <w:sz w:val="24"/>
          <w:szCs w:val="24"/>
        </w:rPr>
      </w:pPr>
    </w:p>
    <w:p w:rsidR="00E379C3" w:rsidRPr="00101B64" w:rsidRDefault="00E379C3" w:rsidP="00E379C3">
      <w:pPr>
        <w:jc w:val="both"/>
        <w:rPr>
          <w:rFonts w:asciiTheme="minorHAnsi" w:hAnsiTheme="minorHAnsi" w:cstheme="minorHAnsi"/>
          <w:sz w:val="24"/>
          <w:szCs w:val="24"/>
        </w:rPr>
      </w:pPr>
      <w:r w:rsidRPr="00101B64">
        <w:rPr>
          <w:rFonts w:asciiTheme="minorHAnsi" w:hAnsiTheme="minorHAnsi" w:cstheme="minorHAnsi"/>
          <w:sz w:val="24"/>
          <w:szCs w:val="24"/>
        </w:rPr>
        <w:t>În 2013, după o scădere a numărului de copii care frecventau Școala și în cadrul unui plan de disponibilizare mai vast, Soren a fost concediat din funcția de bucătar. Când superiorii săi i-au comunicat această decizie, Soren a susținut că „solicitările sale speciale” constante, pe care nimeni altcineva nu le mai făcea, au fost menționate ca fiind unul dintre motivele pentru care el a fost singurul angajat din bucătărie care a fost concediat. Șeful său a menționat, de asemenea, că acum Soren va avea cel puțin timp să se ocupe de sănătatea sa.</w:t>
      </w:r>
      <w:r w:rsidRPr="00101B64" w:rsidDel="008A6F9D">
        <w:rPr>
          <w:rFonts w:asciiTheme="minorHAnsi" w:hAnsiTheme="minorHAnsi" w:cstheme="minorHAnsi"/>
          <w:sz w:val="24"/>
          <w:szCs w:val="24"/>
        </w:rPr>
        <w:t xml:space="preserve"> </w:t>
      </w:r>
    </w:p>
    <w:p w:rsidR="00E379C3" w:rsidRPr="00101B64" w:rsidRDefault="00E379C3" w:rsidP="00E379C3">
      <w:pPr>
        <w:jc w:val="both"/>
        <w:rPr>
          <w:rFonts w:asciiTheme="minorHAnsi" w:hAnsiTheme="minorHAnsi" w:cstheme="minorHAnsi"/>
          <w:sz w:val="24"/>
          <w:szCs w:val="24"/>
        </w:rPr>
      </w:pPr>
    </w:p>
    <w:p w:rsidR="00E379C3" w:rsidRPr="00101B64" w:rsidRDefault="00E379C3" w:rsidP="00E379C3">
      <w:pPr>
        <w:jc w:val="both"/>
        <w:rPr>
          <w:rFonts w:asciiTheme="minorHAnsi" w:hAnsiTheme="minorHAnsi" w:cstheme="minorHAnsi"/>
          <w:sz w:val="24"/>
          <w:szCs w:val="24"/>
        </w:rPr>
      </w:pPr>
      <w:r w:rsidRPr="00101B64">
        <w:rPr>
          <w:rFonts w:asciiTheme="minorHAnsi" w:hAnsiTheme="minorHAnsi" w:cstheme="minorHAnsi"/>
          <w:sz w:val="24"/>
          <w:szCs w:val="24"/>
        </w:rPr>
        <w:t>Soren a introdus o acțiune la instanța locală, plângându-se de concediere discriminatorie. În plângerea sa, acesta a susținut că a fost discriminat pentru că este obez și a cerut despăgubiri.</w:t>
      </w:r>
    </w:p>
    <w:p w:rsidR="00E379C3" w:rsidRPr="00101B64" w:rsidRDefault="00E379C3" w:rsidP="00E379C3">
      <w:pPr>
        <w:jc w:val="both"/>
        <w:rPr>
          <w:rFonts w:asciiTheme="minorHAnsi" w:hAnsiTheme="minorHAnsi" w:cstheme="minorHAnsi"/>
          <w:sz w:val="24"/>
          <w:szCs w:val="24"/>
        </w:rPr>
      </w:pPr>
    </w:p>
    <w:p w:rsidR="00E379C3" w:rsidRPr="00101B64" w:rsidRDefault="00E379C3" w:rsidP="00E379C3">
      <w:pPr>
        <w:jc w:val="both"/>
        <w:rPr>
          <w:rFonts w:asciiTheme="minorHAnsi" w:hAnsiTheme="minorHAnsi" w:cstheme="minorHAnsi"/>
          <w:b/>
          <w:sz w:val="24"/>
          <w:szCs w:val="24"/>
        </w:rPr>
      </w:pPr>
      <w:r w:rsidRPr="00101B64">
        <w:rPr>
          <w:rFonts w:asciiTheme="minorHAnsi" w:hAnsiTheme="minorHAnsi" w:cstheme="minorHAnsi"/>
          <w:b/>
          <w:sz w:val="24"/>
          <w:szCs w:val="24"/>
        </w:rPr>
        <w:t>Sunteți judecător în cadrul unei instanțe locale. Vă rugăm să răspundeți la următoarele întrebări:</w:t>
      </w:r>
    </w:p>
    <w:p w:rsidR="00E379C3" w:rsidRPr="00101B64" w:rsidRDefault="00E379C3" w:rsidP="00E379C3">
      <w:pPr>
        <w:pStyle w:val="ListParagraph"/>
        <w:numPr>
          <w:ilvl w:val="0"/>
          <w:numId w:val="14"/>
        </w:numPr>
        <w:spacing w:after="0" w:line="240" w:lineRule="auto"/>
        <w:contextualSpacing w:val="0"/>
        <w:jc w:val="both"/>
        <w:rPr>
          <w:rFonts w:asciiTheme="minorHAnsi" w:hAnsiTheme="minorHAnsi" w:cstheme="minorHAnsi"/>
          <w:sz w:val="24"/>
          <w:szCs w:val="24"/>
        </w:rPr>
      </w:pPr>
      <w:r w:rsidRPr="00101B64">
        <w:rPr>
          <w:rFonts w:asciiTheme="minorHAnsi" w:hAnsiTheme="minorHAnsi" w:cstheme="minorHAnsi"/>
          <w:sz w:val="24"/>
          <w:szCs w:val="24"/>
        </w:rPr>
        <w:t>În baza faptelor care v-au fost prezentate (necontestate de părți), Soren a fost discriminat pe motive de obezitate?</w:t>
      </w:r>
    </w:p>
    <w:p w:rsidR="00E379C3" w:rsidRPr="00101B64" w:rsidRDefault="00E379C3" w:rsidP="00E379C3">
      <w:pPr>
        <w:pStyle w:val="ListParagraph"/>
        <w:numPr>
          <w:ilvl w:val="0"/>
          <w:numId w:val="14"/>
        </w:numPr>
        <w:spacing w:after="0" w:line="240" w:lineRule="auto"/>
        <w:contextualSpacing w:val="0"/>
        <w:jc w:val="both"/>
        <w:rPr>
          <w:rFonts w:asciiTheme="minorHAnsi" w:hAnsiTheme="minorHAnsi" w:cstheme="minorHAnsi"/>
          <w:sz w:val="24"/>
          <w:szCs w:val="24"/>
        </w:rPr>
      </w:pPr>
      <w:r>
        <w:rPr>
          <w:rFonts w:asciiTheme="minorHAnsi" w:hAnsiTheme="minorHAnsi" w:cstheme="minorHAnsi"/>
          <w:sz w:val="24"/>
          <w:szCs w:val="24"/>
        </w:rPr>
        <w:t>Ce reglementări ar putea fi utilizate</w:t>
      </w:r>
      <w:r w:rsidRPr="00101B64">
        <w:rPr>
          <w:rFonts w:asciiTheme="minorHAnsi" w:hAnsiTheme="minorHAnsi" w:cstheme="minorHAnsi"/>
          <w:sz w:val="24"/>
          <w:szCs w:val="24"/>
        </w:rPr>
        <w:t xml:space="preserve"> pentru a vă susține decizia în prezenta cauză?</w:t>
      </w:r>
    </w:p>
    <w:p w:rsidR="00E379C3" w:rsidRPr="00101B64" w:rsidRDefault="00E379C3" w:rsidP="00E379C3">
      <w:pPr>
        <w:pStyle w:val="ListParagraph"/>
        <w:numPr>
          <w:ilvl w:val="0"/>
          <w:numId w:val="14"/>
        </w:numPr>
        <w:spacing w:after="0" w:line="240" w:lineRule="auto"/>
        <w:contextualSpacing w:val="0"/>
        <w:jc w:val="both"/>
        <w:rPr>
          <w:rFonts w:asciiTheme="minorHAnsi" w:hAnsiTheme="minorHAnsi" w:cstheme="minorHAnsi"/>
          <w:sz w:val="24"/>
          <w:szCs w:val="24"/>
        </w:rPr>
      </w:pPr>
      <w:r w:rsidRPr="00101B64">
        <w:rPr>
          <w:rFonts w:asciiTheme="minorHAnsi" w:hAnsiTheme="minorHAnsi" w:cstheme="minorHAnsi"/>
          <w:sz w:val="24"/>
          <w:szCs w:val="24"/>
        </w:rPr>
        <w:t>Care este relevanța afirmației pârâtei (Școala) potrivit căreia Soren și-a provocat singur afecțiunea și, prin urmare, aceasta nu poate reprezenta o dizabilitate?</w:t>
      </w:r>
    </w:p>
    <w:p w:rsidR="00E379C3" w:rsidRPr="00101B64" w:rsidRDefault="00E379C3" w:rsidP="00E379C3">
      <w:pPr>
        <w:pStyle w:val="ListParagraph"/>
        <w:numPr>
          <w:ilvl w:val="0"/>
          <w:numId w:val="14"/>
        </w:numPr>
        <w:spacing w:after="0" w:line="240" w:lineRule="auto"/>
        <w:contextualSpacing w:val="0"/>
        <w:jc w:val="both"/>
        <w:rPr>
          <w:rFonts w:asciiTheme="minorHAnsi" w:hAnsiTheme="minorHAnsi" w:cstheme="minorHAnsi"/>
          <w:sz w:val="24"/>
          <w:szCs w:val="24"/>
        </w:rPr>
      </w:pPr>
      <w:r w:rsidRPr="00101B64">
        <w:rPr>
          <w:rFonts w:asciiTheme="minorHAnsi" w:hAnsiTheme="minorHAnsi" w:cstheme="minorHAnsi"/>
          <w:sz w:val="24"/>
          <w:szCs w:val="24"/>
        </w:rPr>
        <w:t>Școala susține că a satisfăcut nevoile speciale ale lui Soren, deși au fost foarte costisitoare și nu erau obligați să facă acest lucru. Discutați.</w:t>
      </w:r>
    </w:p>
    <w:p w:rsidR="00E379C3" w:rsidRPr="00E379C3" w:rsidRDefault="00E379C3" w:rsidP="00E379C3">
      <w:pPr>
        <w:jc w:val="both"/>
        <w:rPr>
          <w:rFonts w:asciiTheme="minorHAnsi" w:hAnsiTheme="minorHAnsi" w:cstheme="minorHAnsi"/>
          <w:sz w:val="24"/>
          <w:szCs w:val="24"/>
        </w:rPr>
      </w:pPr>
    </w:p>
    <w:p w:rsidR="00E379C3" w:rsidRPr="00E379C3" w:rsidRDefault="00E379C3" w:rsidP="00E379C3">
      <w:pPr>
        <w:jc w:val="both"/>
        <w:rPr>
          <w:rFonts w:asciiTheme="minorHAnsi" w:hAnsiTheme="minorHAnsi" w:cstheme="minorHAnsi"/>
          <w:b/>
          <w:sz w:val="24"/>
          <w:szCs w:val="24"/>
        </w:rPr>
      </w:pPr>
      <w:r w:rsidRPr="00E379C3">
        <w:rPr>
          <w:rFonts w:asciiTheme="minorHAnsi" w:hAnsiTheme="minorHAnsi" w:cstheme="minorHAnsi"/>
          <w:sz w:val="24"/>
          <w:szCs w:val="24"/>
        </w:rPr>
        <w:t xml:space="preserve">NOTĂ: </w:t>
      </w:r>
      <w:r w:rsidRPr="00E379C3">
        <w:rPr>
          <w:rFonts w:asciiTheme="minorHAnsi" w:hAnsiTheme="minorHAnsi" w:cstheme="minorHAnsi"/>
          <w:i/>
          <w:sz w:val="24"/>
          <w:szCs w:val="24"/>
        </w:rPr>
        <w:t xml:space="preserve">Directivele împotriva discriminării în ceea ce privește ocuparea forței de muncă și încadrarea în muncă au fost transpuse integral în legislația națională din statul al cărui </w:t>
      </w:r>
      <w:r w:rsidRPr="00E379C3">
        <w:rPr>
          <w:rFonts w:asciiTheme="minorHAnsi" w:hAnsiTheme="minorHAnsi" w:cstheme="minorHAnsi"/>
          <w:i/>
          <w:sz w:val="24"/>
          <w:szCs w:val="24"/>
        </w:rPr>
        <w:lastRenderedPageBreak/>
        <w:t>resortisant este Soren. Legislația națională interzice astfel discriminarea pe baza dizabilității, însă nu menționează obezitatea în contextul discriminării</w:t>
      </w:r>
    </w:p>
    <w:p w:rsidR="000C3691" w:rsidRPr="00E379C3" w:rsidRDefault="000C3691" w:rsidP="000C3691">
      <w:pPr>
        <w:rPr>
          <w:rFonts w:asciiTheme="minorHAnsi" w:hAnsiTheme="minorHAnsi" w:cstheme="minorHAnsi"/>
          <w:b/>
          <w:sz w:val="24"/>
          <w:szCs w:val="24"/>
        </w:rPr>
      </w:pPr>
    </w:p>
    <w:p w:rsidR="000C3691" w:rsidRPr="00E379C3" w:rsidRDefault="000C3691" w:rsidP="000C3691">
      <w:pPr>
        <w:rPr>
          <w:rFonts w:asciiTheme="minorHAnsi" w:hAnsiTheme="minorHAnsi" w:cstheme="minorHAnsi"/>
          <w:b/>
          <w:sz w:val="24"/>
          <w:szCs w:val="24"/>
        </w:rPr>
      </w:pPr>
    </w:p>
    <w:p w:rsidR="000C3691" w:rsidRPr="00E379C3" w:rsidRDefault="000C3691" w:rsidP="000C3691">
      <w:pPr>
        <w:rPr>
          <w:rFonts w:asciiTheme="minorHAnsi" w:hAnsiTheme="minorHAnsi" w:cstheme="minorHAnsi"/>
          <w:b/>
          <w:sz w:val="24"/>
          <w:szCs w:val="24"/>
        </w:rPr>
      </w:pPr>
    </w:p>
    <w:p w:rsidR="003133D0" w:rsidRPr="00E379C3" w:rsidRDefault="0086161D" w:rsidP="003133D0">
      <w:pPr>
        <w:pStyle w:val="Header"/>
        <w:jc w:val="center"/>
        <w:rPr>
          <w:rFonts w:asciiTheme="minorHAnsi" w:hAnsiTheme="minorHAnsi" w:cstheme="minorHAnsi"/>
          <w:b/>
          <w:sz w:val="24"/>
          <w:szCs w:val="24"/>
        </w:rPr>
      </w:pPr>
      <w:r w:rsidRPr="00E379C3">
        <w:rPr>
          <w:rFonts w:asciiTheme="minorHAnsi" w:hAnsiTheme="minorHAnsi" w:cstheme="minorHAnsi"/>
          <w:b/>
          <w:sz w:val="24"/>
          <w:szCs w:val="24"/>
        </w:rPr>
        <w:t>Lucrarea</w:t>
      </w:r>
      <w:r w:rsidR="00E379C3" w:rsidRPr="00E379C3">
        <w:rPr>
          <w:rFonts w:asciiTheme="minorHAnsi" w:hAnsiTheme="minorHAnsi" w:cstheme="minorHAnsi"/>
          <w:b/>
          <w:sz w:val="24"/>
          <w:szCs w:val="24"/>
        </w:rPr>
        <w:t xml:space="preserve"> profesională nr. 2</w:t>
      </w:r>
    </w:p>
    <w:p w:rsidR="00E379C3" w:rsidRPr="00E379C3" w:rsidRDefault="00E379C3" w:rsidP="00E379C3">
      <w:pPr>
        <w:pStyle w:val="Header"/>
        <w:jc w:val="center"/>
        <w:rPr>
          <w:rFonts w:asciiTheme="minorHAnsi" w:hAnsiTheme="minorHAnsi" w:cstheme="minorHAnsi"/>
          <w:b/>
          <w:sz w:val="24"/>
          <w:szCs w:val="24"/>
        </w:rPr>
      </w:pPr>
    </w:p>
    <w:p w:rsidR="00E379C3" w:rsidRPr="00E379C3" w:rsidRDefault="00E379C3" w:rsidP="00E379C3">
      <w:pPr>
        <w:jc w:val="both"/>
        <w:rPr>
          <w:sz w:val="24"/>
          <w:szCs w:val="24"/>
        </w:rPr>
      </w:pPr>
      <w:r w:rsidRPr="00E379C3">
        <w:rPr>
          <w:sz w:val="24"/>
          <w:szCs w:val="24"/>
        </w:rPr>
        <w:t>1. În luna august 1989, în urma unui control abuziv al fostei Miliţii, doamnei Litigia şi soţului ei (în prezent decedat), le-a fost confiscată suma de 200.000 DM, potrivit Procesului verbal din 20.08.1989, emis de Inspectoratul General al Miliţiei, organ represiv al statului la acea dată. În cuprinsul acestui înscris sunt menţionate suma confiscată, precum şi numele reclamantei şi al soţului ei defunct, titulari ai sumei de bani; pe de altă parte, deşi procesul verbal vorbeşte de „confiscare”, acesta nu precizează dacă la baza măsurii s-a aflat vreo hotărâre judecătorească, rezoluţie/ordonanţă a procurorului sau dacă a existat vreun proces verbal de constatare şi sancţionare a contravenţiilor, conform legii naţionale relevante la acea dată, Legea nr. 32/1968 privind regimul contravenţiilor. În schimb, se menţionează confiscarea sumei respective în baza Decretului nr. 210/1960 privind regimul mijloacelor de plată străine, despre care se poate susţine că a fost abrogat implicit prin Legea nr. 158/2004 privind declararea ca abrogate a unor acte normative în aplicarea prevederilor art. 154 din Constituţia României, republicată, în vederea eliminării din legislaţia României a actelor normative contrare noii ordini de drept. Procesul verbal menţionează numele unui martor.</w:t>
      </w:r>
    </w:p>
    <w:p w:rsidR="00E379C3" w:rsidRPr="00E379C3" w:rsidRDefault="00E379C3" w:rsidP="00E379C3">
      <w:pPr>
        <w:jc w:val="both"/>
        <w:rPr>
          <w:sz w:val="24"/>
          <w:szCs w:val="24"/>
        </w:rPr>
      </w:pPr>
    </w:p>
    <w:p w:rsidR="00E379C3" w:rsidRPr="00E379C3" w:rsidRDefault="00E379C3" w:rsidP="00E379C3">
      <w:pPr>
        <w:jc w:val="both"/>
        <w:rPr>
          <w:sz w:val="24"/>
          <w:szCs w:val="24"/>
        </w:rPr>
      </w:pPr>
      <w:r w:rsidRPr="00E379C3">
        <w:rPr>
          <w:sz w:val="24"/>
          <w:szCs w:val="24"/>
        </w:rPr>
        <w:t>2. Printr-o acţiune civilă înregistrată pe rolul Tribunalului X, reclamanta a chemat în judecată Statul român, solicitându-i instanţei ca, în temeiul art. 480-481 din Codul civil 1964 şi al Cartei Drepturilor Fundamentale a Uniunii Europene, prin hotărârea pe care o va pronunţa, să dispună obligarea pârâtului la restituirea sumei de 200.000 DM, pe care, în opinia sa, acesta a preluat-o abuziv, fără titlu valabil. Acţiunea reclamantei a fost respinsă ca neîntemeiată, instanţa concluzionând că nu se poate stabili că suma în litigiu a fost preluată abuziv de la antecesorul reclamantei, în condiţiile în care la dosarul cauzei a fost depus un singur înscris, copia Procesului verbal din 20.08.1989, nesusţinut de niciun fel de alte probe care să ateste starea de fapt invocată. În fapt, instanţa a apreciat că acest înscris nu este de natură să facă singur dovada susţinerilor reclamantei, întrucât nu poartă niciun fel de sigiliu, nici un număr de înregistrare şi nu este însoţit de acte care să ateste predarea valutei către bugetul statului sau către Banca Naţională a României. Reclamanta nu a făcut nici dovada faptului că a deţinut o asemenea sumă importantă şi nu a reuşit nici să identifice martorul consemnat a fi fost prezent cu ocazia procesului verbal de confiscare, pentru ca acesta să-i susţină pretenţiile.</w:t>
      </w:r>
    </w:p>
    <w:p w:rsidR="00E379C3" w:rsidRPr="00E379C3" w:rsidRDefault="00E379C3" w:rsidP="00E379C3">
      <w:pPr>
        <w:jc w:val="both"/>
        <w:rPr>
          <w:sz w:val="24"/>
          <w:szCs w:val="24"/>
        </w:rPr>
      </w:pPr>
    </w:p>
    <w:p w:rsidR="00E379C3" w:rsidRPr="00E379C3" w:rsidRDefault="00E379C3" w:rsidP="00E379C3">
      <w:pPr>
        <w:jc w:val="both"/>
        <w:rPr>
          <w:sz w:val="24"/>
          <w:szCs w:val="24"/>
        </w:rPr>
      </w:pPr>
      <w:r w:rsidRPr="00E379C3">
        <w:rPr>
          <w:sz w:val="24"/>
          <w:szCs w:val="24"/>
        </w:rPr>
        <w:t xml:space="preserve">3. Cererea reclamantei a fost respinsă şi de instanţa de apel, a cărei hotărâre a fost casată, însă, de instanţa de recurs, cu trimitere spre rejudecare, în vederea completării probatoriului. În rejudecare, în faţa Curţii de Apel Y, reclamanta a învedereat faptul că există suspiciunea ca miliţianul care a confiscat suma de bani în discuţie să şi-o fi însuşit şi a solicitat, în acest sens, audierea unui martor care a trecut prin aceeaşi situaţie ca şi ea şi defunctul ei soţ. Instanţa a respins proba testimonială, în schimb a solicitat informaţii de la Banca Naţională şi Inspectoratul de Poliţie cu privire la încasarea efectivă a sumei de 200 000 DM. Cele două instituţii au comunicat că în evidenţele lor această sumă nu figurează. În consecinţă, acţiunea reclamantei a fost din nou respinsă ca nedovedită. Curtea de Apel Y şi-a pronunţat decizia la data de 10 ianuarie 2014 şi a motivat-o la data de 1 martie 2014. </w:t>
      </w:r>
    </w:p>
    <w:p w:rsidR="00E379C3" w:rsidRPr="00E379C3" w:rsidRDefault="00E379C3" w:rsidP="00E379C3">
      <w:pPr>
        <w:jc w:val="both"/>
        <w:rPr>
          <w:sz w:val="24"/>
          <w:szCs w:val="24"/>
        </w:rPr>
      </w:pPr>
    </w:p>
    <w:p w:rsidR="00E379C3" w:rsidRPr="00E379C3" w:rsidRDefault="00E379C3" w:rsidP="00E379C3">
      <w:pPr>
        <w:jc w:val="both"/>
        <w:rPr>
          <w:sz w:val="24"/>
          <w:szCs w:val="24"/>
        </w:rPr>
      </w:pPr>
      <w:r w:rsidRPr="00E379C3">
        <w:rPr>
          <w:sz w:val="24"/>
          <w:szCs w:val="24"/>
        </w:rPr>
        <w:t xml:space="preserve">4. La data de 20 august 2014, reclamanta sesizează Curtea Europeană a Drepturilor Omului cu o cerere împotriva statului român. </w:t>
      </w:r>
    </w:p>
    <w:p w:rsidR="00E379C3" w:rsidRPr="00E379C3" w:rsidRDefault="00E379C3" w:rsidP="00E379C3">
      <w:pPr>
        <w:jc w:val="both"/>
        <w:rPr>
          <w:sz w:val="24"/>
          <w:szCs w:val="24"/>
        </w:rPr>
      </w:pPr>
    </w:p>
    <w:p w:rsidR="00E379C3" w:rsidRPr="00E379C3" w:rsidRDefault="00E379C3" w:rsidP="00E379C3">
      <w:pPr>
        <w:jc w:val="both"/>
        <w:rPr>
          <w:b/>
          <w:sz w:val="24"/>
          <w:szCs w:val="24"/>
        </w:rPr>
      </w:pPr>
      <w:r w:rsidRPr="00E379C3">
        <w:rPr>
          <w:b/>
          <w:sz w:val="24"/>
          <w:szCs w:val="24"/>
        </w:rPr>
        <w:t xml:space="preserve">Discutaţi argumentele părţilor în faţa Curţii. </w:t>
      </w:r>
    </w:p>
    <w:p w:rsidR="00E379C3" w:rsidRDefault="00E379C3" w:rsidP="000C3691">
      <w:pPr>
        <w:jc w:val="both"/>
        <w:rPr>
          <w:rFonts w:asciiTheme="minorHAnsi" w:hAnsiTheme="minorHAnsi" w:cstheme="minorHAnsi"/>
          <w:b/>
          <w:sz w:val="24"/>
          <w:szCs w:val="24"/>
        </w:rPr>
      </w:pPr>
    </w:p>
    <w:p w:rsidR="00E379C3" w:rsidRPr="009D3C77" w:rsidRDefault="00E379C3" w:rsidP="000C3691">
      <w:pPr>
        <w:jc w:val="both"/>
        <w:rPr>
          <w:rFonts w:asciiTheme="minorHAnsi" w:hAnsiTheme="minorHAnsi" w:cstheme="minorHAnsi"/>
          <w:b/>
          <w:sz w:val="24"/>
          <w:szCs w:val="24"/>
        </w:rPr>
      </w:pPr>
    </w:p>
    <w:p w:rsidR="000C3691" w:rsidRPr="009D3C77" w:rsidRDefault="0086161D" w:rsidP="000C3691">
      <w:pPr>
        <w:pStyle w:val="Header"/>
        <w:jc w:val="center"/>
        <w:rPr>
          <w:rFonts w:asciiTheme="minorHAnsi" w:hAnsiTheme="minorHAnsi" w:cstheme="minorHAnsi"/>
          <w:b/>
          <w:sz w:val="24"/>
          <w:szCs w:val="24"/>
        </w:rPr>
      </w:pPr>
      <w:r w:rsidRPr="009D3C77">
        <w:rPr>
          <w:rFonts w:asciiTheme="minorHAnsi" w:hAnsiTheme="minorHAnsi" w:cstheme="minorHAnsi"/>
          <w:b/>
          <w:sz w:val="24"/>
          <w:szCs w:val="24"/>
        </w:rPr>
        <w:t>Lucrarea</w:t>
      </w:r>
      <w:r w:rsidR="00AE4074" w:rsidRPr="009D3C77">
        <w:rPr>
          <w:rFonts w:asciiTheme="minorHAnsi" w:hAnsiTheme="minorHAnsi" w:cstheme="minorHAnsi"/>
          <w:b/>
          <w:sz w:val="24"/>
          <w:szCs w:val="24"/>
        </w:rPr>
        <w:t xml:space="preserve"> </w:t>
      </w:r>
      <w:r w:rsidR="00E379C3">
        <w:rPr>
          <w:rFonts w:asciiTheme="minorHAnsi" w:hAnsiTheme="minorHAnsi" w:cstheme="minorHAnsi"/>
          <w:b/>
          <w:sz w:val="24"/>
          <w:szCs w:val="24"/>
        </w:rPr>
        <w:t>profesională nr. 3</w:t>
      </w:r>
    </w:p>
    <w:p w:rsidR="00AE4074" w:rsidRPr="009D3C77" w:rsidRDefault="00AE4074" w:rsidP="000C3691">
      <w:pPr>
        <w:pStyle w:val="Header"/>
        <w:jc w:val="center"/>
        <w:rPr>
          <w:rFonts w:asciiTheme="minorHAnsi" w:hAnsiTheme="minorHAnsi" w:cstheme="minorHAnsi"/>
          <w:b/>
          <w:sz w:val="24"/>
          <w:szCs w:val="24"/>
        </w:rPr>
      </w:pPr>
    </w:p>
    <w:p w:rsidR="0081307D" w:rsidRDefault="0081307D" w:rsidP="0081307D">
      <w:pPr>
        <w:pStyle w:val="Header"/>
        <w:jc w:val="both"/>
        <w:rPr>
          <w:rFonts w:asciiTheme="minorHAnsi" w:hAnsiTheme="minorHAnsi" w:cstheme="minorHAnsi"/>
          <w:color w:val="000000"/>
          <w:sz w:val="24"/>
          <w:szCs w:val="24"/>
        </w:rPr>
      </w:pPr>
      <w:r w:rsidRPr="0081307D">
        <w:rPr>
          <w:rFonts w:asciiTheme="minorHAnsi" w:hAnsiTheme="minorHAnsi" w:cstheme="minorHAnsi"/>
          <w:color w:val="000000"/>
          <w:sz w:val="24"/>
          <w:szCs w:val="24"/>
        </w:rPr>
        <w:t xml:space="preserve">Cererea </w:t>
      </w:r>
      <w:r w:rsidR="00E379C3">
        <w:rPr>
          <w:rFonts w:asciiTheme="minorHAnsi" w:hAnsiTheme="minorHAnsi" w:cstheme="minorHAnsi"/>
          <w:color w:val="000000"/>
          <w:sz w:val="24"/>
          <w:szCs w:val="24"/>
        </w:rPr>
        <w:t xml:space="preserve">în faţa CtEDO </w:t>
      </w:r>
      <w:r w:rsidRPr="0081307D">
        <w:rPr>
          <w:rFonts w:asciiTheme="minorHAnsi" w:hAnsiTheme="minorHAnsi" w:cstheme="minorHAnsi"/>
          <w:color w:val="000000"/>
          <w:sz w:val="24"/>
          <w:szCs w:val="24"/>
        </w:rPr>
        <w:t>a fost introdusă de o organizaţie neguvernamentală, Centrul de Resurse Juridice (CRJ), în numele unui tânăr rom, domnul Valentin Câmpeanu, care a decedat în 2004 la vârsta de 18 ani. Domnul Câmpeanu a fost plasat într-un orfelinat încă de la naşter</w:t>
      </w:r>
      <w:r>
        <w:rPr>
          <w:rFonts w:asciiTheme="minorHAnsi" w:hAnsiTheme="minorHAnsi" w:cstheme="minorHAnsi"/>
          <w:color w:val="000000"/>
          <w:sz w:val="24"/>
          <w:szCs w:val="24"/>
        </w:rPr>
        <w:t>e</w:t>
      </w:r>
      <w:r w:rsidRPr="0081307D">
        <w:rPr>
          <w:rFonts w:asciiTheme="minorHAnsi" w:hAnsiTheme="minorHAnsi" w:cstheme="minorHAnsi"/>
          <w:color w:val="000000"/>
          <w:sz w:val="24"/>
          <w:szCs w:val="24"/>
        </w:rPr>
        <w:t>, după ce a fost abandonat de mama sa. În copilărie, a fost diagnosticat HIV seropozitiv şi încadrat în gradul grav de handicap mintal. La împlinirea vârstei majoratului, a trebuit să plece din centrul pentru copii handicapaţi în care stătuse şi a fost supus unor evaluări în vederea plasamentului într-o instituţie specializată. După ce mai multe instituţii au refuzat să-l interneze din cauza afecţiunii sale, acesta a fost internat în cele din urmă într-o unitate medico-socială, care i-a constatat starea avansată de degradare psihiatrică şi fizică, fiind lipsit de medicamente antiretrovirale şi suferind de malnutriţie. Câteva zile mai târziu, a fost internat într-un spital de psihiatrie, după ce a prezentat un comportament hiper-agresiv. Spitalul respect</w:t>
      </w:r>
      <w:r>
        <w:rPr>
          <w:rFonts w:asciiTheme="minorHAnsi" w:hAnsiTheme="minorHAnsi" w:cstheme="minorHAnsi"/>
          <w:color w:val="000000"/>
          <w:sz w:val="24"/>
          <w:szCs w:val="24"/>
        </w:rPr>
        <w:t>iv declarase anterior că nu este</w:t>
      </w:r>
      <w:r w:rsidRPr="0081307D">
        <w:rPr>
          <w:rFonts w:asciiTheme="minorHAnsi" w:hAnsiTheme="minorHAnsi" w:cstheme="minorHAnsi"/>
          <w:color w:val="000000"/>
          <w:sz w:val="24"/>
          <w:szCs w:val="24"/>
        </w:rPr>
        <w:t xml:space="preserve"> dotat pentru îngrijirea pacienţilor seropozitivi. Acolo a fost remarcat de o echipă de reprezentanţi CRJ, care au raportat că l-au găsit singur într-o încăpere neîncălzită, doar cu o bluză de pijama şi într-un pat fără lenjerie. Deşi nu se putea alimenta singur şi nu se putea deplasa singur la toaletă, personalul spitalului a refuzat să-i acorde asistenţă, de teamă să nu contracteze HIV. Tânărul refuza mâncarea şi medicamentele, aşa că era hrănit doar cu glucoză în perfuzie. Membrii CRJ au concluzionat că spitalul nu îi acordase tânărului tratamentul şi îngrijirile cele mai elementare. Domnul Câmpeanu a decedat în aceeaşi seară.</w:t>
      </w:r>
    </w:p>
    <w:p w:rsidR="00AE4074" w:rsidRPr="008D5E13" w:rsidRDefault="0081307D" w:rsidP="0081307D">
      <w:pPr>
        <w:pStyle w:val="Header"/>
        <w:jc w:val="both"/>
        <w:rPr>
          <w:rFonts w:asciiTheme="minorHAnsi" w:hAnsiTheme="minorHAnsi" w:cstheme="minorHAnsi"/>
          <w:color w:val="000000"/>
          <w:sz w:val="24"/>
          <w:szCs w:val="24"/>
        </w:rPr>
      </w:pPr>
      <w:r w:rsidRPr="008D5E13">
        <w:rPr>
          <w:rFonts w:asciiTheme="minorHAnsi" w:hAnsiTheme="minorHAnsi" w:cstheme="minorHAnsi"/>
          <w:color w:val="000000"/>
          <w:sz w:val="24"/>
          <w:szCs w:val="24"/>
        </w:rPr>
        <w:br/>
        <w:t>Conform raportului CPT din 2004, în 2003 şi în primele cinci luni din 2004 decedaseră în total 109 pacienţi în condiţii suspecte la spitalul de psihiatrie respectiv, principalele cauze de deces fiind stopul cardiac, infarctul miocardic şi bronhopneumonia; vârsta medie a pacienţilor decedaţi era de 56 de ani, unii dintre aceştia având vârste sub 40 de ani. CPT a constatat că unii dintre pacienţi nu au primit îngrijiri suficiente. Acesta a remarcat, de asemenea, precaritatea resurselor umane şi materiale, precum şi carenţele grave în materie de calitate şi cantitate a alimentelor şi lipsa încălzirii.</w:t>
      </w:r>
    </w:p>
    <w:p w:rsidR="0081307D" w:rsidRPr="008D5E13" w:rsidRDefault="0081307D" w:rsidP="0081307D">
      <w:pPr>
        <w:pStyle w:val="Header"/>
        <w:jc w:val="both"/>
        <w:rPr>
          <w:rFonts w:asciiTheme="minorHAnsi" w:hAnsiTheme="minorHAnsi" w:cstheme="minorHAnsi"/>
          <w:color w:val="000000"/>
          <w:sz w:val="24"/>
          <w:szCs w:val="24"/>
        </w:rPr>
      </w:pPr>
    </w:p>
    <w:p w:rsidR="0081307D" w:rsidRPr="008D5E13" w:rsidRDefault="0081307D" w:rsidP="0081307D">
      <w:pPr>
        <w:pStyle w:val="Header"/>
        <w:jc w:val="both"/>
        <w:rPr>
          <w:rFonts w:asciiTheme="minorHAnsi" w:hAnsiTheme="minorHAnsi" w:cstheme="minorHAnsi"/>
          <w:b/>
          <w:sz w:val="24"/>
          <w:szCs w:val="24"/>
        </w:rPr>
      </w:pPr>
      <w:r w:rsidRPr="008D5E13">
        <w:rPr>
          <w:rFonts w:asciiTheme="minorHAnsi" w:hAnsiTheme="minorHAnsi" w:cstheme="minorHAnsi"/>
          <w:b/>
          <w:sz w:val="24"/>
          <w:szCs w:val="24"/>
        </w:rPr>
        <w:t>Evaluaţi problematica pe care o ridică, din punct de vedere material şi procedural, cererea pe care Centrul de Resurse Juridice a adresat-o Curţii Europene a Drepturilor Omului.</w:t>
      </w:r>
    </w:p>
    <w:p w:rsidR="0081307D" w:rsidRPr="008D5E13" w:rsidRDefault="0081307D" w:rsidP="0081307D">
      <w:pPr>
        <w:pStyle w:val="Header"/>
        <w:jc w:val="both"/>
        <w:rPr>
          <w:rFonts w:asciiTheme="minorHAnsi" w:hAnsiTheme="minorHAnsi" w:cstheme="minorHAnsi"/>
          <w:b/>
          <w:sz w:val="24"/>
          <w:szCs w:val="24"/>
        </w:rPr>
      </w:pPr>
    </w:p>
    <w:p w:rsidR="0066432F" w:rsidRDefault="0066432F" w:rsidP="00AE4074">
      <w:pPr>
        <w:pStyle w:val="Header"/>
        <w:jc w:val="center"/>
        <w:rPr>
          <w:rFonts w:asciiTheme="minorHAnsi" w:hAnsiTheme="minorHAnsi" w:cstheme="minorHAnsi"/>
          <w:b/>
          <w:sz w:val="24"/>
          <w:szCs w:val="24"/>
        </w:rPr>
      </w:pPr>
    </w:p>
    <w:p w:rsidR="00E379C3" w:rsidRDefault="00E379C3">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rsidR="0066432F" w:rsidRDefault="0066432F" w:rsidP="00AE4074">
      <w:pPr>
        <w:pStyle w:val="Header"/>
        <w:jc w:val="center"/>
        <w:rPr>
          <w:rFonts w:asciiTheme="minorHAnsi" w:hAnsiTheme="minorHAnsi" w:cstheme="minorHAnsi"/>
          <w:b/>
          <w:sz w:val="24"/>
          <w:szCs w:val="24"/>
        </w:rPr>
      </w:pPr>
      <w:r>
        <w:rPr>
          <w:rFonts w:asciiTheme="minorHAnsi" w:hAnsiTheme="minorHAnsi" w:cstheme="minorHAnsi"/>
          <w:b/>
          <w:sz w:val="24"/>
          <w:szCs w:val="24"/>
        </w:rPr>
        <w:lastRenderedPageBreak/>
        <w:t>DISCIPLINA III – DREPTUL EUROPEAN AL CONSUMULUI</w:t>
      </w:r>
    </w:p>
    <w:p w:rsidR="0066432F" w:rsidRDefault="0066432F" w:rsidP="00AE4074">
      <w:pPr>
        <w:pStyle w:val="Header"/>
        <w:jc w:val="center"/>
        <w:rPr>
          <w:rFonts w:asciiTheme="minorHAnsi" w:hAnsiTheme="minorHAnsi" w:cstheme="minorHAnsi"/>
          <w:b/>
          <w:sz w:val="24"/>
          <w:szCs w:val="24"/>
        </w:rPr>
      </w:pPr>
    </w:p>
    <w:p w:rsidR="000C3691" w:rsidRDefault="0086161D" w:rsidP="00AE4074">
      <w:pPr>
        <w:pStyle w:val="Header"/>
        <w:jc w:val="center"/>
        <w:rPr>
          <w:rFonts w:asciiTheme="minorHAnsi" w:hAnsiTheme="minorHAnsi" w:cstheme="minorHAnsi"/>
          <w:b/>
          <w:sz w:val="24"/>
          <w:szCs w:val="24"/>
        </w:rPr>
      </w:pPr>
      <w:r w:rsidRPr="008D5E13">
        <w:rPr>
          <w:rFonts w:asciiTheme="minorHAnsi" w:hAnsiTheme="minorHAnsi" w:cstheme="minorHAnsi"/>
          <w:b/>
          <w:sz w:val="24"/>
          <w:szCs w:val="24"/>
        </w:rPr>
        <w:t>Lucrarea</w:t>
      </w:r>
      <w:r w:rsidR="000C3691" w:rsidRPr="008D5E13">
        <w:rPr>
          <w:rFonts w:asciiTheme="minorHAnsi" w:hAnsiTheme="minorHAnsi" w:cstheme="minorHAnsi"/>
          <w:b/>
          <w:sz w:val="24"/>
          <w:szCs w:val="24"/>
        </w:rPr>
        <w:t xml:space="preserve"> </w:t>
      </w:r>
      <w:r w:rsidR="0066432F">
        <w:rPr>
          <w:rFonts w:asciiTheme="minorHAnsi" w:hAnsiTheme="minorHAnsi" w:cstheme="minorHAnsi"/>
          <w:b/>
          <w:sz w:val="24"/>
          <w:szCs w:val="24"/>
        </w:rPr>
        <w:t>profesională nr. 1</w:t>
      </w:r>
    </w:p>
    <w:p w:rsidR="008D5E13" w:rsidRPr="008D5E13" w:rsidRDefault="008D5E13" w:rsidP="00AE4074">
      <w:pPr>
        <w:pStyle w:val="Header"/>
        <w:jc w:val="center"/>
        <w:rPr>
          <w:rFonts w:asciiTheme="minorHAnsi" w:hAnsiTheme="minorHAnsi" w:cstheme="minorHAnsi"/>
          <w:b/>
          <w:sz w:val="24"/>
          <w:szCs w:val="24"/>
        </w:rPr>
      </w:pPr>
    </w:p>
    <w:p w:rsidR="008D5E13" w:rsidRPr="008D5E13" w:rsidRDefault="008D5E13" w:rsidP="008D5E13">
      <w:pPr>
        <w:jc w:val="both"/>
        <w:rPr>
          <w:rFonts w:asciiTheme="minorHAnsi" w:eastAsiaTheme="minorHAnsi" w:hAnsiTheme="minorHAnsi"/>
          <w:sz w:val="24"/>
          <w:szCs w:val="24"/>
        </w:rPr>
      </w:pPr>
      <w:r w:rsidRPr="008D5E13">
        <w:rPr>
          <w:sz w:val="24"/>
          <w:szCs w:val="24"/>
        </w:rPr>
        <w:t xml:space="preserve">Reclamanta A a introdus o cerere de chemare în judecată împotriva societății PC S.R.L., solicitând instanței să dispună obligarea pârâtei la înlocuirea produsului neconform – calculator portabil – sau, în subsidiar, să declare rezoluțiunea contractului de vânzare-cumpărare a produsului și să dispună obligarea pârâtei la restituirea prețului achitat, împreună cu dobânda legală, calculată începând cu data introducerii acțiunii. În motivarea cererii, reclamanta A a arătat că la 16 luni după achiziționarea calculatorului de la societatea pârâtă, acesta s-a defectat și în urma testelor și verificărilor efectuate de către pârâtă și de către o societate terță, s-a constatat că era vorba despre un defect de fabricație care nu putea fi remediat. Reclamanta a susținut că potrivit dispozițiilor europene și naționale privind vânzarea produselor și garanțiile asociate acestora, vânzătorul răspunde dacă lipsa de conformitate apare într-un termen de 2 ani, calculat de la livrarea produsului. </w:t>
      </w:r>
    </w:p>
    <w:p w:rsidR="008D5E13" w:rsidRDefault="008D5E13" w:rsidP="008D5E13">
      <w:pPr>
        <w:jc w:val="both"/>
        <w:rPr>
          <w:sz w:val="24"/>
          <w:szCs w:val="24"/>
        </w:rPr>
      </w:pPr>
      <w:r w:rsidRPr="008D5E13">
        <w:rPr>
          <w:sz w:val="24"/>
          <w:szCs w:val="24"/>
        </w:rPr>
        <w:t xml:space="preserve">Societatea pârâtă s-a apărat pe motiv că în cauză nu era aplicabil termenul de 2 ani invocat de reclamantă, deoarece pârâta eliberase reclamantei A un certificat de garanție pe o perioadă de 1 an de la data achiziționării, astfel încât în speță era aplicabil acest termen special convenit de părți. În plus, pârâta a mai argumentat că oricum termenul de 2 ani pentru semnalarea neconformității produsului nu era aplicabil, deoarece produsul vândut fusese un produs </w:t>
      </w:r>
      <w:r w:rsidRPr="008D5E13">
        <w:rPr>
          <w:i/>
          <w:sz w:val="24"/>
          <w:szCs w:val="24"/>
        </w:rPr>
        <w:t>refurbished</w:t>
      </w:r>
      <w:r w:rsidRPr="008D5E13">
        <w:rPr>
          <w:sz w:val="24"/>
          <w:szCs w:val="24"/>
        </w:rPr>
        <w:t>, iar nu unul nou.</w:t>
      </w:r>
      <w:r>
        <w:rPr>
          <w:sz w:val="24"/>
          <w:szCs w:val="24"/>
        </w:rPr>
        <w:t xml:space="preserve"> </w:t>
      </w:r>
      <w:r w:rsidRPr="008D5E13">
        <w:rPr>
          <w:sz w:val="24"/>
          <w:szCs w:val="24"/>
        </w:rPr>
        <w:t>Reclamanta a arătat că pe nici unul dintre documentele de vânzare nu apărea mențiunea care să indice faptul că produsul era</w:t>
      </w:r>
      <w:r w:rsidRPr="008D5E13">
        <w:rPr>
          <w:i/>
          <w:sz w:val="24"/>
          <w:szCs w:val="24"/>
        </w:rPr>
        <w:t xml:space="preserve"> refusbished</w:t>
      </w:r>
      <w:r w:rsidRPr="008D5E13">
        <w:rPr>
          <w:sz w:val="24"/>
          <w:szCs w:val="24"/>
        </w:rPr>
        <w:t xml:space="preserve"> și că acest aspect nu îi fusese adus la cunoștință de către vânzător în nici o modalitate.</w:t>
      </w:r>
    </w:p>
    <w:p w:rsidR="008D5E13" w:rsidRDefault="008D5E13" w:rsidP="008D5E13">
      <w:pPr>
        <w:jc w:val="both"/>
        <w:rPr>
          <w:b/>
          <w:sz w:val="24"/>
          <w:szCs w:val="24"/>
        </w:rPr>
      </w:pPr>
    </w:p>
    <w:p w:rsidR="008D5E13" w:rsidRPr="008D5E13" w:rsidRDefault="008D5E13" w:rsidP="008D5E13">
      <w:pPr>
        <w:jc w:val="both"/>
        <w:rPr>
          <w:b/>
          <w:sz w:val="24"/>
          <w:szCs w:val="24"/>
        </w:rPr>
      </w:pPr>
      <w:r w:rsidRPr="008D5E13">
        <w:rPr>
          <w:b/>
          <w:sz w:val="24"/>
          <w:szCs w:val="24"/>
        </w:rPr>
        <w:t>Stabiliți şi motivaţi soluția instanței, având în vedere prevederile Directivei 1999/44/CE.</w:t>
      </w:r>
    </w:p>
    <w:p w:rsidR="000C3691" w:rsidRPr="009D3C77" w:rsidRDefault="000C3691" w:rsidP="000C3691">
      <w:pPr>
        <w:autoSpaceDE w:val="0"/>
        <w:autoSpaceDN w:val="0"/>
        <w:adjustRightInd w:val="0"/>
        <w:jc w:val="both"/>
        <w:rPr>
          <w:rFonts w:asciiTheme="minorHAnsi" w:hAnsiTheme="minorHAnsi" w:cstheme="minorHAnsi"/>
          <w:color w:val="000000"/>
          <w:sz w:val="24"/>
          <w:szCs w:val="24"/>
        </w:rPr>
      </w:pPr>
    </w:p>
    <w:p w:rsidR="000C3691" w:rsidRPr="009D3C77" w:rsidRDefault="0086161D" w:rsidP="000C3691">
      <w:pPr>
        <w:jc w:val="center"/>
        <w:rPr>
          <w:rFonts w:asciiTheme="minorHAnsi" w:hAnsiTheme="minorHAnsi" w:cstheme="minorHAnsi"/>
          <w:b/>
          <w:sz w:val="24"/>
          <w:szCs w:val="24"/>
        </w:rPr>
      </w:pPr>
      <w:r w:rsidRPr="009D3C77">
        <w:rPr>
          <w:rFonts w:asciiTheme="minorHAnsi" w:hAnsiTheme="minorHAnsi" w:cstheme="minorHAnsi"/>
          <w:b/>
          <w:sz w:val="24"/>
          <w:szCs w:val="24"/>
        </w:rPr>
        <w:t>Lucrarea</w:t>
      </w:r>
      <w:r w:rsidR="0066432F">
        <w:rPr>
          <w:rFonts w:asciiTheme="minorHAnsi" w:hAnsiTheme="minorHAnsi" w:cstheme="minorHAnsi"/>
          <w:b/>
          <w:sz w:val="24"/>
          <w:szCs w:val="24"/>
        </w:rPr>
        <w:t xml:space="preserve"> profesională nr. 2</w:t>
      </w:r>
    </w:p>
    <w:p w:rsidR="000C3691" w:rsidRPr="009D3C77" w:rsidRDefault="000C3691" w:rsidP="000C3691">
      <w:pPr>
        <w:jc w:val="center"/>
        <w:rPr>
          <w:rFonts w:asciiTheme="minorHAnsi" w:hAnsiTheme="minorHAnsi" w:cstheme="minorHAnsi"/>
          <w:b/>
          <w:sz w:val="24"/>
          <w:szCs w:val="24"/>
        </w:rPr>
      </w:pP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1. La 26 iunie 2005, domnul M.A. a încheiat cu C.P. (societate comercială) un contract având ca obiect vânzarea unei locuințe (denumit în continuare „contractul”). Clauza 13 din acest contract avea următorul cuprins:</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„Cumpărătorul este obligat la plata impozitului local aferent creșterii valorii bunurilor urbane, acest aspect fiind luat în considerare la stabilirea prețului imobilelor care fac obiectul contractului. Cumpărătorul este obligat, de asemenea, la plata taxelor de racordare individuală pentru diferitele utilități precum apa, gazul, energia electrică, canalizarea etc., chiar dacă au fost plătite în avans de vânzător.”</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2. Într</w:t>
      </w:r>
      <w:r w:rsidRPr="009D3C77">
        <w:rPr>
          <w:rFonts w:asciiTheme="minorHAnsi" w:hAnsiTheme="minorHAnsi" w:cstheme="minorHAnsi"/>
          <w:lang w:val="it-IT"/>
        </w:rPr>
        <w:noBreakHyphen/>
        <w:t>o primă etapă, domnul M.A. a achitat o sumă totală de 1 223,87 euro, din care 1 000 de euro pentru impozitul local aferent creșterii valorii bunurilor urbane (denumit în continuare „impozitul pe câștigul din proprietăți imobiliare”) și 223,87 euro pentru racordarea locuinței la rețeaua de apă și canalizare.</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3. Într</w:t>
      </w:r>
      <w:r w:rsidRPr="009D3C77">
        <w:rPr>
          <w:rFonts w:asciiTheme="minorHAnsi" w:hAnsiTheme="minorHAnsi" w:cstheme="minorHAnsi"/>
          <w:lang w:val="it-IT"/>
        </w:rPr>
        <w:noBreakHyphen/>
        <w:t>o a doua etapă, domnul M.A. a introdus la instanța națională o acțiune împotriva societății C.P. pentru obținerea restituirii sumelor respective. Această cerere era întemeiată pe faptul că prevederea art. 13 din contract, în executarea căreia dobânditorul fusese obligat să le plătească, trebuia considerată abuzivă în temeiul articolului 10 din Legea națională generală pentru protecția consumatorilor, întrucât nu făcuse obiectul unei negocieri și crea un dezechilibru semnificativ între drepturile și obligațiile părților la contract.</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lastRenderedPageBreak/>
        <w:t>4. În apărare, C.P. a arătat că respectiva clauză fusese negociată cu cumpărătorul și că nu exista un dezechilibru semnificativ dacă valoarea sumelor reclamate era raportată la prețul total plătit de acesta din urmă pentru achiziționarea locuinței sale.</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5. Prin hotărârea din 28 septembrie 2011, prima instanță a admis acțiunea, apreciind clauza în discuție ca fiind abuzivă, întrucât aduce atingere intereselor consumatorului impunându</w:t>
      </w:r>
      <w:r w:rsidRPr="009D3C77">
        <w:rPr>
          <w:rFonts w:asciiTheme="minorHAnsi" w:hAnsiTheme="minorHAnsi" w:cstheme="minorHAnsi"/>
          <w:lang w:val="it-IT"/>
        </w:rPr>
        <w:noBreakHyphen/>
        <w:t>i sarcini care nu îi reveneau, și că, pe de altă parte, nu este dovedit că a făcut obiectul unei negocieri specifice cu acesta din urmă.</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6. C.P. a formulat apel împotriva hotărârii menționate susținând că clauza litigioasă făcuse obiectul unei negocieri individuale, în condițiile în care chiar în cadrul acestei clauze se precizează că asumarea plății impozitului pe câștigul din proprietăți imobiliare de către consumator fusese luată în considerare pentru stabilirea prețului imobilului vândut. Această societate a reafirmat, de asemenea, că nu exista un dezechilibru semnificativ între părți, întrucât aprecierea unui astfel de dezechilibru nu ar putea să se limiteze la luarea în considerare a unei clauze determinate, ci ar trebui să implice luarea în considerare a contractului în totalitatea sa și o examinare comparativă a tuturor clauzelor.</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7. Domnul M.A. a solicitat menținerea hotărârii pronunțate în primă instanță. Potrivit acestuia, cuantumul impozitului pe câștigul din proprietăți imobiliare pe care l</w:t>
      </w:r>
      <w:r w:rsidRPr="009D3C77">
        <w:rPr>
          <w:rFonts w:asciiTheme="minorHAnsi" w:hAnsiTheme="minorHAnsi" w:cstheme="minorHAnsi"/>
          <w:lang w:val="it-IT"/>
        </w:rPr>
        <w:noBreakHyphen/>
        <w:t>a achitat și proporția reprezentată de acest cuantum în raport cu prețul locuinței sunt lipsite de pertinență. Dezechilibrul specific caracterului abuziv al clauzei 13 din contract ar fi constituit de simplul fapt că această clauză pune în sarcina consumatorului plata unui impozit pe care el nu îl datorează potrivit legii.</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8. Dispozițiile relevante din legislația națională și normele europene incidente:</w:t>
      </w:r>
    </w:p>
    <w:p w:rsidR="000C3691" w:rsidRPr="009D3C77" w:rsidRDefault="000C3691" w:rsidP="000C3691">
      <w:pPr>
        <w:pStyle w:val="c01pointnumerotealtn"/>
        <w:jc w:val="both"/>
        <w:rPr>
          <w:rFonts w:asciiTheme="minorHAnsi" w:hAnsiTheme="minorHAnsi" w:cstheme="minorHAnsi"/>
          <w:i/>
          <w:lang w:val="it-IT"/>
        </w:rPr>
      </w:pPr>
    </w:p>
    <w:p w:rsidR="000C3691" w:rsidRPr="009D3C77" w:rsidRDefault="000C3691" w:rsidP="000C3691">
      <w:pPr>
        <w:pStyle w:val="c01pointnumerotealtn"/>
        <w:jc w:val="both"/>
        <w:rPr>
          <w:rFonts w:asciiTheme="minorHAnsi" w:hAnsiTheme="minorHAnsi" w:cstheme="minorHAnsi"/>
          <w:i/>
          <w:lang w:val="it-IT"/>
        </w:rPr>
      </w:pPr>
      <w:r w:rsidRPr="009D3C77">
        <w:rPr>
          <w:rFonts w:asciiTheme="minorHAnsi" w:hAnsiTheme="minorHAnsi" w:cstheme="minorHAnsi"/>
          <w:i/>
          <w:lang w:val="it-IT"/>
        </w:rPr>
        <w:t>Legea națională privind protecția consumatorilor:</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Articolul 10 alineatul 1:</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„Sunt considerate clauze abuzive orice dispoziții care nu au făcut obiectul unei negocieri individuale și orice practici care nu au fost consimțite în mod expres, care, în pofida cerinței bunei</w:t>
      </w:r>
      <w:r w:rsidRPr="009D3C77">
        <w:rPr>
          <w:rFonts w:asciiTheme="minorHAnsi" w:hAnsiTheme="minorHAnsi" w:cstheme="minorHAnsi"/>
          <w:lang w:val="it-IT"/>
        </w:rPr>
        <w:noBreakHyphen/>
        <w:t>credințe, creează în detrimentul consumatorului un dezechilibru semnificativ între drepturile și obligațiile părților care decurg din contract. În orice caz, sunt considerate clauze abuzive dispozițiile enunțate în prima dispoziție adițională la prezenta lege.</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Faptul că anumite aspecte ale unei clauze sau o anumită clauză au fost negociate individual nu exclude aplicarea prezentului articol pentru restul contractului.</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În cazul în care vânzătorul sau furnizorul pretinde că o anumită clauză a fost negociată individual, acestuia îi revine sarcina probei.</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Caracterul abuziv al unei clauze se apreciază luând în considerare natura bunurilor sau a serviciilor care fac obiectul contractului și ținând seama de toate circumstanțele care însoțesc încheierea contractului, precum și de toate celelalte clauze ale acestui contract sau ale unui alt contract de care ar depinde acesta din urmă.”</w:t>
      </w:r>
    </w:p>
    <w:p w:rsidR="000C3691" w:rsidRPr="009D3C77" w:rsidRDefault="000C3691" w:rsidP="000C3691">
      <w:pPr>
        <w:pStyle w:val="c01pointnumerotealtn"/>
        <w:jc w:val="both"/>
        <w:rPr>
          <w:rFonts w:asciiTheme="minorHAnsi" w:hAnsiTheme="minorHAnsi" w:cstheme="minorHAnsi"/>
          <w:lang w:val="it-IT"/>
        </w:rPr>
      </w:pPr>
    </w:p>
    <w:p w:rsidR="000C3691" w:rsidRPr="009D3C77" w:rsidRDefault="000C3691" w:rsidP="000C3691">
      <w:pPr>
        <w:pStyle w:val="c01pointnumerotealtn"/>
        <w:jc w:val="both"/>
        <w:rPr>
          <w:rFonts w:asciiTheme="minorHAnsi" w:hAnsiTheme="minorHAnsi" w:cstheme="minorHAnsi"/>
          <w:i/>
          <w:lang w:val="it-IT"/>
        </w:rPr>
      </w:pPr>
      <w:r w:rsidRPr="009D3C77">
        <w:rPr>
          <w:rFonts w:asciiTheme="minorHAnsi" w:hAnsiTheme="minorHAnsi" w:cstheme="minorHAnsi"/>
          <w:i/>
          <w:lang w:val="it-IT"/>
        </w:rPr>
        <w:t>Directiva 93/13/CEE a Consiliului din 5 aprilie 1993 privind clauzele abuzive în contractele încheiate cu consumatorii:</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Articolul 3 din Directivă:</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lastRenderedPageBreak/>
        <w:t>„(1)      O clauză contractuală care nu s</w:t>
      </w:r>
      <w:r w:rsidRPr="009D3C77">
        <w:rPr>
          <w:rFonts w:asciiTheme="minorHAnsi" w:hAnsiTheme="minorHAnsi" w:cstheme="minorHAnsi"/>
          <w:lang w:val="it-IT"/>
        </w:rPr>
        <w:noBreakHyphen/>
        <w:t>a negociat individual se consideră ca fiind abuzivă în cazul în care, în contradicție cu cerința de bună</w:t>
      </w:r>
      <w:r w:rsidRPr="009D3C77">
        <w:rPr>
          <w:rFonts w:asciiTheme="minorHAnsi" w:hAnsiTheme="minorHAnsi" w:cstheme="minorHAnsi"/>
          <w:lang w:val="it-IT"/>
        </w:rPr>
        <w:noBreakHyphen/>
        <w:t>credință, provoacă un dezechilibru semnificativ între drepturile și obligațiile părților care decurg din contract, în detrimentul consumatorului.</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(2)      Se consideră întotdeauna că o clauză nu s</w:t>
      </w:r>
      <w:r w:rsidRPr="009D3C77">
        <w:rPr>
          <w:rFonts w:asciiTheme="minorHAnsi" w:hAnsiTheme="minorHAnsi" w:cstheme="minorHAnsi"/>
          <w:lang w:val="it-IT"/>
        </w:rPr>
        <w:noBreakHyphen/>
        <w:t>a negociat individual atunci când a fost redactată în prealabil, iar, din acest motiv, consumatorul nu a avut posibilitatea de a influența conținutul clauzei, în special în cazul unui contract de adeziune.</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În cazul în care orice vânzător sau furnizor pretinde că s</w:t>
      </w:r>
      <w:r w:rsidRPr="009D3C77">
        <w:rPr>
          <w:rFonts w:asciiTheme="minorHAnsi" w:hAnsiTheme="minorHAnsi" w:cstheme="minorHAnsi"/>
          <w:lang w:val="it-IT"/>
        </w:rPr>
        <w:noBreakHyphen/>
        <w:t>a negociat individual o clauză standard, acestuia îi revine sarcina probei.</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(3)      Anexa conține o listă orientativă și neexhaustivă a clauzelor care pot fi considerate abuzive.”</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Articolul 4 alineatul (1) din Directivă:</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„Fără să aducă atingere articolului 7, caracterul abuziv al unei clauze contractuale se apreciază luând în considerare natura bunurilor sau a serviciilor pentru care s</w:t>
      </w:r>
      <w:r w:rsidRPr="009D3C77">
        <w:rPr>
          <w:rFonts w:asciiTheme="minorHAnsi" w:hAnsiTheme="minorHAnsi" w:cstheme="minorHAnsi"/>
          <w:lang w:val="it-IT"/>
        </w:rPr>
        <w:noBreakHyphen/>
        <w:t>a încheiat contractul și raportându</w:t>
      </w:r>
      <w:r w:rsidRPr="009D3C77">
        <w:rPr>
          <w:rFonts w:asciiTheme="minorHAnsi" w:hAnsiTheme="minorHAnsi" w:cstheme="minorHAnsi"/>
          <w:lang w:val="it-IT"/>
        </w:rPr>
        <w:noBreakHyphen/>
        <w:t>se, în momentul încheierii contractului, la toate circumstanțele care însoțesc încheierea contractului și la toate clauzele contractului sau ale unui alt contract de care acesta depinde.”</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Articolul 5 din Directivă:</w:t>
      </w:r>
    </w:p>
    <w:p w:rsidR="000C3691" w:rsidRPr="009D3C77" w:rsidRDefault="000C3691" w:rsidP="000C3691">
      <w:pPr>
        <w:pStyle w:val="c01pointnumerotealtn"/>
        <w:jc w:val="both"/>
        <w:rPr>
          <w:rFonts w:asciiTheme="minorHAnsi" w:hAnsiTheme="minorHAnsi" w:cstheme="minorHAnsi"/>
        </w:rPr>
      </w:pPr>
      <w:r w:rsidRPr="009D3C77">
        <w:rPr>
          <w:rFonts w:asciiTheme="minorHAnsi" w:hAnsiTheme="minorHAnsi" w:cstheme="minorHAnsi"/>
          <w:lang w:val="it-IT"/>
        </w:rPr>
        <w:t>„În cazul contractelor în care toate clauzele sau o parte a acestora sunt prezentate consumatorului în scris, acestea trebuie întotdeauna redactate într</w:t>
      </w:r>
      <w:r w:rsidRPr="009D3C77">
        <w:rPr>
          <w:rFonts w:asciiTheme="minorHAnsi" w:hAnsiTheme="minorHAnsi" w:cstheme="minorHAnsi"/>
          <w:lang w:val="it-IT"/>
        </w:rPr>
        <w:noBreakHyphen/>
        <w:t>un limbaj clar și inteligibil. În cazul în care există îndoieli cu privire la sensul unei clauze, prevalează interpretarea cea mai favorabilă pentru consumator. [...]”</w:t>
      </w:r>
    </w:p>
    <w:p w:rsidR="000C3691" w:rsidRPr="009D3C77" w:rsidRDefault="000C3691" w:rsidP="000C3691">
      <w:pPr>
        <w:pStyle w:val="c01pointnumerotealtn"/>
        <w:jc w:val="both"/>
        <w:rPr>
          <w:rFonts w:asciiTheme="minorHAnsi" w:hAnsiTheme="minorHAnsi" w:cstheme="minorHAnsi"/>
          <w:b/>
          <w:i/>
          <w:u w:val="single"/>
          <w:lang w:val="it-IT"/>
        </w:rPr>
      </w:pPr>
    </w:p>
    <w:p w:rsidR="000C3691" w:rsidRPr="009D3C77" w:rsidRDefault="000C3691" w:rsidP="000C3691">
      <w:pPr>
        <w:pStyle w:val="c01pointnumerotealtn"/>
        <w:numPr>
          <w:ilvl w:val="0"/>
          <w:numId w:val="10"/>
        </w:numPr>
        <w:jc w:val="both"/>
        <w:rPr>
          <w:rFonts w:asciiTheme="minorHAnsi" w:hAnsiTheme="minorHAnsi" w:cstheme="minorHAnsi"/>
          <w:b/>
          <w:lang w:val="it-IT"/>
        </w:rPr>
      </w:pPr>
      <w:r w:rsidRPr="009D3C77">
        <w:rPr>
          <w:rFonts w:asciiTheme="minorHAnsi" w:hAnsiTheme="minorHAnsi" w:cstheme="minorHAnsi"/>
          <w:b/>
          <w:lang w:val="it-IT"/>
        </w:rPr>
        <w:t>Cum se apreciază eventualul dezechilibru în contractele încheiate cu consumatorii, în lumina dispozițiilor din Directivă?</w:t>
      </w:r>
    </w:p>
    <w:p w:rsidR="000C3691" w:rsidRPr="009D3C77" w:rsidRDefault="000C3691" w:rsidP="000C3691">
      <w:pPr>
        <w:pStyle w:val="c01pointnumerotealtn"/>
        <w:numPr>
          <w:ilvl w:val="0"/>
          <w:numId w:val="10"/>
        </w:numPr>
        <w:jc w:val="both"/>
        <w:rPr>
          <w:rFonts w:asciiTheme="minorHAnsi" w:hAnsiTheme="minorHAnsi" w:cstheme="minorHAnsi"/>
          <w:b/>
          <w:lang w:val="it-IT"/>
        </w:rPr>
      </w:pPr>
      <w:r w:rsidRPr="009D3C77">
        <w:rPr>
          <w:rFonts w:asciiTheme="minorHAnsi" w:hAnsiTheme="minorHAnsi" w:cstheme="minorHAnsi"/>
          <w:b/>
          <w:lang w:val="it-IT"/>
        </w:rPr>
        <w:t>Este necesară și existența unui impact economic semnificativ asupra consumatorului în raport cu valoarea totală a operațiunii?</w:t>
      </w:r>
    </w:p>
    <w:p w:rsidR="000C3691" w:rsidRPr="009D3C77" w:rsidRDefault="000C3691" w:rsidP="000C3691">
      <w:pPr>
        <w:pStyle w:val="c01pointnumerotealtn"/>
        <w:numPr>
          <w:ilvl w:val="0"/>
          <w:numId w:val="10"/>
        </w:numPr>
        <w:jc w:val="both"/>
        <w:rPr>
          <w:rFonts w:asciiTheme="minorHAnsi" w:hAnsiTheme="minorHAnsi" w:cstheme="minorHAnsi"/>
          <w:b/>
          <w:lang w:val="it-IT"/>
        </w:rPr>
      </w:pPr>
      <w:r w:rsidRPr="009D3C77">
        <w:rPr>
          <w:rFonts w:asciiTheme="minorHAnsi" w:hAnsiTheme="minorHAnsi" w:cstheme="minorHAnsi"/>
          <w:b/>
          <w:lang w:val="it-IT"/>
        </w:rPr>
        <w:t>Care credeți că ar trebui să fie soluția instanței? Motivați.</w:t>
      </w:r>
    </w:p>
    <w:p w:rsidR="000C3691" w:rsidRPr="009D3C77" w:rsidRDefault="000C3691" w:rsidP="000C3691">
      <w:pPr>
        <w:jc w:val="center"/>
        <w:rPr>
          <w:rFonts w:asciiTheme="minorHAnsi" w:hAnsiTheme="minorHAnsi" w:cstheme="minorHAnsi"/>
          <w:b/>
          <w:sz w:val="24"/>
          <w:szCs w:val="24"/>
        </w:rPr>
      </w:pPr>
    </w:p>
    <w:p w:rsidR="000C3691" w:rsidRPr="009D3C77" w:rsidRDefault="0086161D" w:rsidP="000C3691">
      <w:pPr>
        <w:jc w:val="center"/>
        <w:rPr>
          <w:rFonts w:asciiTheme="minorHAnsi" w:hAnsiTheme="minorHAnsi" w:cstheme="minorHAnsi"/>
          <w:b/>
          <w:sz w:val="24"/>
          <w:szCs w:val="24"/>
        </w:rPr>
      </w:pPr>
      <w:r w:rsidRPr="009D3C77">
        <w:rPr>
          <w:rFonts w:asciiTheme="minorHAnsi" w:hAnsiTheme="minorHAnsi" w:cstheme="minorHAnsi"/>
          <w:b/>
          <w:sz w:val="24"/>
          <w:szCs w:val="24"/>
        </w:rPr>
        <w:t>Lucrarea</w:t>
      </w:r>
      <w:r w:rsidR="0066432F">
        <w:rPr>
          <w:rFonts w:asciiTheme="minorHAnsi" w:hAnsiTheme="minorHAnsi" w:cstheme="minorHAnsi"/>
          <w:b/>
          <w:sz w:val="24"/>
          <w:szCs w:val="24"/>
        </w:rPr>
        <w:t xml:space="preserve"> profesională nr. 3</w:t>
      </w:r>
    </w:p>
    <w:p w:rsidR="000C3691" w:rsidRPr="009D3C77" w:rsidRDefault="000C3691" w:rsidP="000C3691">
      <w:pPr>
        <w:jc w:val="center"/>
        <w:rPr>
          <w:rFonts w:asciiTheme="minorHAnsi" w:hAnsiTheme="minorHAnsi" w:cstheme="minorHAnsi"/>
          <w:b/>
          <w:sz w:val="24"/>
          <w:szCs w:val="24"/>
        </w:rPr>
      </w:pPr>
    </w:p>
    <w:p w:rsidR="000C3691" w:rsidRPr="009D3C77" w:rsidRDefault="000C3691" w:rsidP="000C3691">
      <w:pPr>
        <w:jc w:val="both"/>
        <w:rPr>
          <w:rFonts w:asciiTheme="minorHAnsi" w:hAnsiTheme="minorHAnsi" w:cstheme="minorHAnsi"/>
          <w:sz w:val="24"/>
          <w:szCs w:val="24"/>
        </w:rPr>
      </w:pPr>
      <w:r w:rsidRPr="009D3C77">
        <w:rPr>
          <w:rFonts w:asciiTheme="minorHAnsi" w:hAnsiTheme="minorHAnsi" w:cstheme="minorHAnsi"/>
          <w:sz w:val="24"/>
          <w:szCs w:val="24"/>
          <w:lang w:val="it-IT"/>
        </w:rPr>
        <w:t>1. Produc</w:t>
      </w:r>
      <w:r w:rsidRPr="009D3C77">
        <w:rPr>
          <w:rFonts w:asciiTheme="minorHAnsi" w:hAnsiTheme="minorHAnsi" w:cstheme="minorHAnsi"/>
          <w:sz w:val="24"/>
          <w:szCs w:val="24"/>
        </w:rPr>
        <w:t>ătorul de ciocolată Chocolat S.A. este unul dintre cei mai importanți actori din domeniu, activând atât pe piața națională a statului X, membru al Uniunii Europene, cât și pe piața unică. Ca urmare a creșterii vânzărilor sale și a strategiilor de extindere, între anii 2012-2014 Chocolat S.A. a efectuat o serie de operațiuni de achiziție de pachete majoritare de participație în cadrul unor alte societăți de pe piața națională a producătorilor de dulciuri din statul X.</w:t>
      </w:r>
    </w:p>
    <w:p w:rsidR="000C3691" w:rsidRPr="009D3C77" w:rsidRDefault="000C3691" w:rsidP="000C3691">
      <w:pPr>
        <w:jc w:val="both"/>
        <w:rPr>
          <w:rFonts w:asciiTheme="minorHAnsi" w:hAnsiTheme="minorHAnsi" w:cstheme="minorHAnsi"/>
          <w:sz w:val="24"/>
          <w:szCs w:val="24"/>
        </w:rPr>
      </w:pPr>
      <w:r w:rsidRPr="009D3C77">
        <w:rPr>
          <w:rFonts w:asciiTheme="minorHAnsi" w:hAnsiTheme="minorHAnsi" w:cstheme="minorHAnsi"/>
          <w:sz w:val="24"/>
          <w:szCs w:val="24"/>
        </w:rPr>
        <w:t xml:space="preserve">2. Ca urmare a acestor operațiuni, autoritățile naționale din domeniul concurenței s-au sesizat din oficiu cu privire la existența unor posibile încălcări ale legislației naționale în materie, prin acte care s-ar încadra în sfera concentrărilor economice. În vederea efectuării de verificări privind legalitatea operațiunilor și colectării de probe, reprezentanții Consiliului Concurenței din statul X au obținut autorizarea din partea instanței naționale pentru desfășurarea de </w:t>
      </w:r>
      <w:r w:rsidRPr="009D3C77">
        <w:rPr>
          <w:rFonts w:asciiTheme="minorHAnsi" w:hAnsiTheme="minorHAnsi" w:cstheme="minorHAnsi"/>
          <w:sz w:val="24"/>
          <w:szCs w:val="24"/>
        </w:rPr>
        <w:lastRenderedPageBreak/>
        <w:t>percheziții la cinci dintre sediile Chocolat S.A., pentru cercetarea actelor de concentrare economică. Conform legislației din statul X, ordonanța de autorizare a percheziției nu este supusă nici unei căi de atac în mod separat, măsura putând fi contestată doar cu ocazia contestării unei eventuale decizii de sancționare luate de Consiliul Concurenței în baza probelor colectate în cadrul procedurii.</w:t>
      </w:r>
    </w:p>
    <w:p w:rsidR="000C3691" w:rsidRPr="009D3C77" w:rsidRDefault="000C3691" w:rsidP="000C3691">
      <w:pPr>
        <w:jc w:val="both"/>
        <w:rPr>
          <w:rFonts w:asciiTheme="minorHAnsi" w:hAnsiTheme="minorHAnsi" w:cstheme="minorHAnsi"/>
          <w:sz w:val="24"/>
          <w:szCs w:val="24"/>
        </w:rPr>
      </w:pPr>
      <w:r w:rsidRPr="009D3C77">
        <w:rPr>
          <w:rFonts w:asciiTheme="minorHAnsi" w:hAnsiTheme="minorHAnsi" w:cstheme="minorHAnsi"/>
          <w:sz w:val="24"/>
          <w:szCs w:val="24"/>
        </w:rPr>
        <w:t>3. Cu ocazia efectuării perchezițiilor la sediile Chocolat, reprezentanții Consiliului Concurenței au ridicat o serie de documente privitoare la achizițiile de participații în alte societăți, dar și un număr mare de documente privind contractele comerciale încheiate de Chocolat S.A. cu terțe societăți, vizând achiziția de materii prime și vânzarea produselor finite către distribuitori. De asemenea, reprezentanții Consiliului Concurenței au ridicat de la Chocolat 20 de laptop-uri și tablete, care au fost transportate la sediul autorității publice, unde au fost menținute sub sigiliu, iar returnarea lor a fost refuzată, în ciuda multiplelor solicitări din partea societății inspectate.</w:t>
      </w:r>
    </w:p>
    <w:p w:rsidR="000C3691" w:rsidRPr="009D3C77" w:rsidRDefault="000C3691" w:rsidP="000C3691">
      <w:pPr>
        <w:jc w:val="both"/>
        <w:rPr>
          <w:rFonts w:asciiTheme="minorHAnsi" w:hAnsiTheme="minorHAnsi" w:cstheme="minorHAnsi"/>
          <w:sz w:val="24"/>
          <w:szCs w:val="24"/>
        </w:rPr>
      </w:pPr>
      <w:r w:rsidRPr="009D3C77">
        <w:rPr>
          <w:rFonts w:asciiTheme="minorHAnsi" w:hAnsiTheme="minorHAnsi" w:cstheme="minorHAnsi"/>
          <w:sz w:val="24"/>
          <w:szCs w:val="24"/>
        </w:rPr>
        <w:t>4. În contextul informațiilor obținute din studiul contractelor comerciale ridicate de la sediile Chocolat, autoritățile naționale au considerat că se impune și sesizarea Comisiei Europene cu privire la posibila săvârșire a unui abuz de poziție dominantă pe piața europeană. Agenții Comisiei Europene au procedat, la rândul lor, la efectuarea unei inspecții la sediile Chocolat, pe baza unei decizii interne emise de funcționarul însărcinat cu conducerea anchetei. Agenții Comisiei au efectuat copii după o serie de documente de la sediile Chocolat și în urma anchetei, au emis o decizie de sancționare a societății pentru încălcarea regulilor de concurență ale Uniunii Europene.</w:t>
      </w:r>
    </w:p>
    <w:p w:rsidR="000C3691" w:rsidRPr="009D3C77" w:rsidRDefault="000C3691" w:rsidP="000C3691">
      <w:pPr>
        <w:jc w:val="both"/>
        <w:rPr>
          <w:rFonts w:asciiTheme="minorHAnsi" w:hAnsiTheme="minorHAnsi" w:cstheme="minorHAnsi"/>
          <w:sz w:val="24"/>
          <w:szCs w:val="24"/>
        </w:rPr>
      </w:pPr>
      <w:r w:rsidRPr="009D3C77">
        <w:rPr>
          <w:rFonts w:asciiTheme="minorHAnsi" w:hAnsiTheme="minorHAnsi" w:cstheme="minorHAnsi"/>
          <w:sz w:val="24"/>
          <w:szCs w:val="24"/>
        </w:rPr>
        <w:t>5. Societatea Chocolat S.A. consideră că drepturile sale au fost încălcate ca urmare a modului în care s-au desfășurat procedurile de inspecție și a început demersurile în vederea reparării prejudiciilor suferite.</w:t>
      </w:r>
    </w:p>
    <w:p w:rsidR="000C3691" w:rsidRPr="009D3C77" w:rsidRDefault="000C3691" w:rsidP="000C3691">
      <w:pPr>
        <w:jc w:val="both"/>
        <w:rPr>
          <w:rFonts w:asciiTheme="minorHAnsi" w:hAnsiTheme="minorHAnsi" w:cstheme="minorHAnsi"/>
          <w:sz w:val="24"/>
          <w:szCs w:val="24"/>
        </w:rPr>
      </w:pPr>
    </w:p>
    <w:p w:rsidR="000C3691" w:rsidRPr="009D3C77" w:rsidRDefault="000C3691" w:rsidP="000C3691">
      <w:pPr>
        <w:jc w:val="both"/>
        <w:rPr>
          <w:rFonts w:asciiTheme="minorHAnsi" w:hAnsiTheme="minorHAnsi" w:cstheme="minorHAnsi"/>
          <w:b/>
          <w:i/>
          <w:sz w:val="24"/>
          <w:szCs w:val="24"/>
          <w:u w:val="single"/>
        </w:rPr>
      </w:pPr>
    </w:p>
    <w:p w:rsidR="000C3691" w:rsidRPr="009D3C77" w:rsidRDefault="000C3691" w:rsidP="000C3691">
      <w:pPr>
        <w:pStyle w:val="ListParagraph"/>
        <w:numPr>
          <w:ilvl w:val="0"/>
          <w:numId w:val="11"/>
        </w:numPr>
        <w:jc w:val="both"/>
        <w:rPr>
          <w:rFonts w:asciiTheme="minorHAnsi" w:hAnsiTheme="minorHAnsi" w:cstheme="minorHAnsi"/>
          <w:b/>
          <w:sz w:val="24"/>
          <w:szCs w:val="24"/>
        </w:rPr>
      </w:pPr>
      <w:r w:rsidRPr="009D3C77">
        <w:rPr>
          <w:rFonts w:asciiTheme="minorHAnsi" w:hAnsiTheme="minorHAnsi" w:cstheme="minorHAnsi"/>
          <w:b/>
          <w:sz w:val="24"/>
          <w:szCs w:val="24"/>
        </w:rPr>
        <w:t>Care considerați că sunt drepturile pe care le poate invoca societatea Chocolat S.A.?</w:t>
      </w:r>
    </w:p>
    <w:p w:rsidR="000C3691" w:rsidRPr="009D3C77" w:rsidRDefault="000C3691" w:rsidP="000C3691">
      <w:pPr>
        <w:pStyle w:val="ListParagraph"/>
        <w:numPr>
          <w:ilvl w:val="0"/>
          <w:numId w:val="11"/>
        </w:numPr>
        <w:jc w:val="both"/>
        <w:rPr>
          <w:rFonts w:asciiTheme="minorHAnsi" w:hAnsiTheme="minorHAnsi" w:cstheme="minorHAnsi"/>
          <w:b/>
          <w:sz w:val="24"/>
          <w:szCs w:val="24"/>
        </w:rPr>
      </w:pPr>
      <w:r w:rsidRPr="009D3C77">
        <w:rPr>
          <w:rFonts w:asciiTheme="minorHAnsi" w:hAnsiTheme="minorHAnsi" w:cstheme="minorHAnsi"/>
          <w:b/>
          <w:sz w:val="24"/>
          <w:szCs w:val="24"/>
        </w:rPr>
        <w:t>Care este instanța competentă pentru soluționarea plângerii Chocolat?</w:t>
      </w:r>
    </w:p>
    <w:p w:rsidR="000C3691" w:rsidRPr="009D3C77" w:rsidRDefault="000C3691" w:rsidP="000C3691">
      <w:pPr>
        <w:pStyle w:val="ListParagraph"/>
        <w:numPr>
          <w:ilvl w:val="0"/>
          <w:numId w:val="11"/>
        </w:numPr>
        <w:jc w:val="both"/>
        <w:rPr>
          <w:rFonts w:asciiTheme="minorHAnsi" w:hAnsiTheme="minorHAnsi" w:cstheme="minorHAnsi"/>
          <w:b/>
          <w:sz w:val="24"/>
          <w:szCs w:val="24"/>
        </w:rPr>
      </w:pPr>
      <w:r w:rsidRPr="009D3C77">
        <w:rPr>
          <w:rFonts w:asciiTheme="minorHAnsi" w:hAnsiTheme="minorHAnsi" w:cstheme="minorHAnsi"/>
          <w:b/>
          <w:sz w:val="24"/>
          <w:szCs w:val="24"/>
        </w:rPr>
        <w:t>Care sunt criteriile care trebuie avute în vedere pentru stabilirea (in)existenței unei violări?</w:t>
      </w:r>
    </w:p>
    <w:p w:rsidR="000C3691" w:rsidRPr="009D3C77" w:rsidRDefault="000C3691" w:rsidP="000C3691">
      <w:pPr>
        <w:pStyle w:val="ListParagraph"/>
        <w:numPr>
          <w:ilvl w:val="0"/>
          <w:numId w:val="11"/>
        </w:numPr>
        <w:jc w:val="both"/>
        <w:rPr>
          <w:rFonts w:asciiTheme="minorHAnsi" w:hAnsiTheme="minorHAnsi" w:cstheme="minorHAnsi"/>
          <w:b/>
          <w:sz w:val="24"/>
          <w:szCs w:val="24"/>
        </w:rPr>
      </w:pPr>
      <w:r w:rsidRPr="009D3C77">
        <w:rPr>
          <w:rFonts w:asciiTheme="minorHAnsi" w:hAnsiTheme="minorHAnsi" w:cstheme="minorHAnsi"/>
          <w:b/>
          <w:sz w:val="24"/>
          <w:szCs w:val="24"/>
        </w:rPr>
        <w:t>Au fost drepturile încălcate? Motivați.</w:t>
      </w:r>
    </w:p>
    <w:sectPr w:rsidR="000C3691" w:rsidRPr="009D3C77" w:rsidSect="008574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03BC"/>
    <w:multiLevelType w:val="hybridMultilevel"/>
    <w:tmpl w:val="82CAFF78"/>
    <w:lvl w:ilvl="0" w:tplc="5E4888F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6DF49A8"/>
    <w:multiLevelType w:val="hybridMultilevel"/>
    <w:tmpl w:val="77125FAE"/>
    <w:lvl w:ilvl="0" w:tplc="CE88C88E">
      <w:start w:val="6"/>
      <w:numFmt w:val="bullet"/>
      <w:lvlText w:val="-"/>
      <w:lvlJc w:val="left"/>
      <w:pPr>
        <w:tabs>
          <w:tab w:val="num" w:pos="870"/>
        </w:tabs>
        <w:ind w:left="870" w:hanging="510"/>
      </w:pPr>
      <w:rPr>
        <w:rFonts w:ascii="Palatino Linotype" w:eastAsia="Times New Roman" w:hAnsi="Palatino Linotype"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97963"/>
    <w:multiLevelType w:val="hybridMultilevel"/>
    <w:tmpl w:val="4A5406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CA62AE7"/>
    <w:multiLevelType w:val="hybridMultilevel"/>
    <w:tmpl w:val="2164675C"/>
    <w:lvl w:ilvl="0" w:tplc="8E7A4234">
      <w:start w:val="1"/>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 w15:restartNumberingAfterBreak="0">
    <w:nsid w:val="46462EA2"/>
    <w:multiLevelType w:val="hybridMultilevel"/>
    <w:tmpl w:val="280EE9D6"/>
    <w:lvl w:ilvl="0" w:tplc="096EFEF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B3C0880"/>
    <w:multiLevelType w:val="hybridMultilevel"/>
    <w:tmpl w:val="772437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B472151"/>
    <w:multiLevelType w:val="multilevel"/>
    <w:tmpl w:val="94CA8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6C0CA0"/>
    <w:multiLevelType w:val="hybridMultilevel"/>
    <w:tmpl w:val="D10C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038B5"/>
    <w:multiLevelType w:val="hybridMultilevel"/>
    <w:tmpl w:val="55EEF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17D3C09"/>
    <w:multiLevelType w:val="hybridMultilevel"/>
    <w:tmpl w:val="B08685E2"/>
    <w:lvl w:ilvl="0" w:tplc="43242B7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15:restartNumberingAfterBreak="0">
    <w:nsid w:val="65A37DA5"/>
    <w:multiLevelType w:val="hybridMultilevel"/>
    <w:tmpl w:val="A3E2C312"/>
    <w:lvl w:ilvl="0" w:tplc="1CCABF2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 w15:restartNumberingAfterBreak="0">
    <w:nsid w:val="6DBC0D75"/>
    <w:multiLevelType w:val="hybridMultilevel"/>
    <w:tmpl w:val="7064108E"/>
    <w:lvl w:ilvl="0" w:tplc="E72AF688">
      <w:start w:val="1"/>
      <w:numFmt w:val="upperRoman"/>
      <w:lvlText w:val="%1."/>
      <w:lvlJc w:val="left"/>
      <w:pPr>
        <w:ind w:left="720" w:hanging="360"/>
      </w:pPr>
      <w:rPr>
        <w:rFonts w:ascii="Calibri" w:eastAsia="Calibri" w:hAnsi="Calibri" w:cs="Times New Roman"/>
      </w:rPr>
    </w:lvl>
    <w:lvl w:ilvl="1" w:tplc="65500EBE">
      <w:start w:val="1"/>
      <w:numFmt w:val="decimal"/>
      <w:lvlText w:val="%2."/>
      <w:lvlJc w:val="left"/>
      <w:pPr>
        <w:ind w:left="1440" w:hanging="360"/>
      </w:pPr>
      <w:rPr>
        <w:rFonts w:ascii="Times New Roman" w:eastAsia="Calibri" w:hAnsi="Times New Roman"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0360AE0"/>
    <w:multiLevelType w:val="hybridMultilevel"/>
    <w:tmpl w:val="F41EE4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AE859B0"/>
    <w:multiLevelType w:val="hybridMultilevel"/>
    <w:tmpl w:val="04F44130"/>
    <w:lvl w:ilvl="0" w:tplc="293C6304">
      <w:start w:val="1"/>
      <w:numFmt w:val="bullet"/>
      <w:lvlText w:val=""/>
      <w:lvlJc w:val="left"/>
      <w:pPr>
        <w:tabs>
          <w:tab w:val="num" w:pos="720"/>
        </w:tabs>
        <w:ind w:left="720" w:hanging="360"/>
      </w:pPr>
      <w:rPr>
        <w:rFonts w:ascii="Wingdings" w:hAnsi="Wingdings" w:hint="default"/>
      </w:rPr>
    </w:lvl>
    <w:lvl w:ilvl="1" w:tplc="292A8348">
      <w:start w:val="591"/>
      <w:numFmt w:val="bullet"/>
      <w:lvlText w:val=""/>
      <w:lvlJc w:val="left"/>
      <w:pPr>
        <w:tabs>
          <w:tab w:val="num" w:pos="1440"/>
        </w:tabs>
        <w:ind w:left="1440" w:hanging="360"/>
      </w:pPr>
      <w:rPr>
        <w:rFonts w:ascii="Wingdings" w:hAnsi="Wingdings" w:hint="default"/>
      </w:rPr>
    </w:lvl>
    <w:lvl w:ilvl="2" w:tplc="C3506912" w:tentative="1">
      <w:start w:val="1"/>
      <w:numFmt w:val="bullet"/>
      <w:lvlText w:val=""/>
      <w:lvlJc w:val="left"/>
      <w:pPr>
        <w:tabs>
          <w:tab w:val="num" w:pos="2160"/>
        </w:tabs>
        <w:ind w:left="2160" w:hanging="360"/>
      </w:pPr>
      <w:rPr>
        <w:rFonts w:ascii="Wingdings" w:hAnsi="Wingdings" w:hint="default"/>
      </w:rPr>
    </w:lvl>
    <w:lvl w:ilvl="3" w:tplc="31560678" w:tentative="1">
      <w:start w:val="1"/>
      <w:numFmt w:val="bullet"/>
      <w:lvlText w:val=""/>
      <w:lvlJc w:val="left"/>
      <w:pPr>
        <w:tabs>
          <w:tab w:val="num" w:pos="2880"/>
        </w:tabs>
        <w:ind w:left="2880" w:hanging="360"/>
      </w:pPr>
      <w:rPr>
        <w:rFonts w:ascii="Wingdings" w:hAnsi="Wingdings" w:hint="default"/>
      </w:rPr>
    </w:lvl>
    <w:lvl w:ilvl="4" w:tplc="81A40AE8" w:tentative="1">
      <w:start w:val="1"/>
      <w:numFmt w:val="bullet"/>
      <w:lvlText w:val=""/>
      <w:lvlJc w:val="left"/>
      <w:pPr>
        <w:tabs>
          <w:tab w:val="num" w:pos="3600"/>
        </w:tabs>
        <w:ind w:left="3600" w:hanging="360"/>
      </w:pPr>
      <w:rPr>
        <w:rFonts w:ascii="Wingdings" w:hAnsi="Wingdings" w:hint="default"/>
      </w:rPr>
    </w:lvl>
    <w:lvl w:ilvl="5" w:tplc="B2223EFE" w:tentative="1">
      <w:start w:val="1"/>
      <w:numFmt w:val="bullet"/>
      <w:lvlText w:val=""/>
      <w:lvlJc w:val="left"/>
      <w:pPr>
        <w:tabs>
          <w:tab w:val="num" w:pos="4320"/>
        </w:tabs>
        <w:ind w:left="4320" w:hanging="360"/>
      </w:pPr>
      <w:rPr>
        <w:rFonts w:ascii="Wingdings" w:hAnsi="Wingdings" w:hint="default"/>
      </w:rPr>
    </w:lvl>
    <w:lvl w:ilvl="6" w:tplc="FAC894FA" w:tentative="1">
      <w:start w:val="1"/>
      <w:numFmt w:val="bullet"/>
      <w:lvlText w:val=""/>
      <w:lvlJc w:val="left"/>
      <w:pPr>
        <w:tabs>
          <w:tab w:val="num" w:pos="5040"/>
        </w:tabs>
        <w:ind w:left="5040" w:hanging="360"/>
      </w:pPr>
      <w:rPr>
        <w:rFonts w:ascii="Wingdings" w:hAnsi="Wingdings" w:hint="default"/>
      </w:rPr>
    </w:lvl>
    <w:lvl w:ilvl="7" w:tplc="D9BCC148" w:tentative="1">
      <w:start w:val="1"/>
      <w:numFmt w:val="bullet"/>
      <w:lvlText w:val=""/>
      <w:lvlJc w:val="left"/>
      <w:pPr>
        <w:tabs>
          <w:tab w:val="num" w:pos="5760"/>
        </w:tabs>
        <w:ind w:left="5760" w:hanging="360"/>
      </w:pPr>
      <w:rPr>
        <w:rFonts w:ascii="Wingdings" w:hAnsi="Wingdings" w:hint="default"/>
      </w:rPr>
    </w:lvl>
    <w:lvl w:ilvl="8" w:tplc="94C4C934"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12"/>
  </w:num>
  <w:num w:numId="4">
    <w:abstractNumId w:val="10"/>
  </w:num>
  <w:num w:numId="5">
    <w:abstractNumId w:val="1"/>
  </w:num>
  <w:num w:numId="6">
    <w:abstractNumId w:val="13"/>
  </w:num>
  <w:num w:numId="7">
    <w:abstractNumId w:val="3"/>
  </w:num>
  <w:num w:numId="8">
    <w:abstractNumId w:val="4"/>
  </w:num>
  <w:num w:numId="9">
    <w:abstractNumId w:val="0"/>
  </w:num>
  <w:num w:numId="10">
    <w:abstractNumId w:val="6"/>
  </w:num>
  <w:num w:numId="11">
    <w:abstractNumId w:val="7"/>
  </w:num>
  <w:num w:numId="12">
    <w:abstractNumId w:val="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292"/>
    <w:rsid w:val="000659AA"/>
    <w:rsid w:val="000C3691"/>
    <w:rsid w:val="00156292"/>
    <w:rsid w:val="00164C28"/>
    <w:rsid w:val="001D5C4E"/>
    <w:rsid w:val="003133D0"/>
    <w:rsid w:val="005E4A91"/>
    <w:rsid w:val="0066432F"/>
    <w:rsid w:val="006E79F3"/>
    <w:rsid w:val="0081307D"/>
    <w:rsid w:val="00857471"/>
    <w:rsid w:val="0086161D"/>
    <w:rsid w:val="008D5E13"/>
    <w:rsid w:val="0098209F"/>
    <w:rsid w:val="009D3C77"/>
    <w:rsid w:val="00A01C59"/>
    <w:rsid w:val="00AE4074"/>
    <w:rsid w:val="00DC7A57"/>
    <w:rsid w:val="00E379C3"/>
    <w:rsid w:val="00FA7495"/>
    <w:rsid w:val="00FC14F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6E010-9498-410D-B933-95E70B1D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69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691"/>
    <w:pPr>
      <w:tabs>
        <w:tab w:val="center" w:pos="4536"/>
        <w:tab w:val="right" w:pos="9072"/>
      </w:tabs>
    </w:pPr>
  </w:style>
  <w:style w:type="character" w:customStyle="1" w:styleId="HeaderChar">
    <w:name w:val="Header Char"/>
    <w:basedOn w:val="DefaultParagraphFont"/>
    <w:link w:val="Header"/>
    <w:uiPriority w:val="99"/>
    <w:rsid w:val="000C3691"/>
    <w:rPr>
      <w:rFonts w:ascii="Calibri" w:eastAsia="Calibri" w:hAnsi="Calibri" w:cs="Times New Roman"/>
    </w:rPr>
  </w:style>
  <w:style w:type="paragraph" w:styleId="ListParagraph">
    <w:name w:val="List Paragraph"/>
    <w:basedOn w:val="Normal"/>
    <w:uiPriority w:val="34"/>
    <w:qFormat/>
    <w:rsid w:val="000C3691"/>
    <w:pPr>
      <w:spacing w:after="200" w:line="276" w:lineRule="auto"/>
      <w:ind w:left="720"/>
      <w:contextualSpacing/>
    </w:pPr>
  </w:style>
  <w:style w:type="paragraph" w:customStyle="1" w:styleId="6Text">
    <w:name w:val="6.Text"/>
    <w:basedOn w:val="Normal"/>
    <w:rsid w:val="000C3691"/>
    <w:pPr>
      <w:ind w:firstLine="454"/>
      <w:jc w:val="both"/>
    </w:pPr>
    <w:rPr>
      <w:rFonts w:ascii="Arial" w:eastAsia="Times New Roman" w:hAnsi="Arial" w:cs="Arial"/>
      <w:sz w:val="20"/>
      <w:szCs w:val="20"/>
    </w:rPr>
  </w:style>
  <w:style w:type="paragraph" w:customStyle="1" w:styleId="c02alineaalta">
    <w:name w:val="c02alineaalta"/>
    <w:basedOn w:val="Normal"/>
    <w:rsid w:val="000C3691"/>
    <w:pPr>
      <w:suppressAutoHyphens/>
      <w:autoSpaceDN w:val="0"/>
      <w:spacing w:before="100" w:after="100"/>
      <w:textAlignment w:val="baseline"/>
    </w:pPr>
    <w:rPr>
      <w:rFonts w:ascii="Times New Roman" w:eastAsia="Times New Roman" w:hAnsi="Times New Roman"/>
      <w:sz w:val="24"/>
      <w:szCs w:val="24"/>
      <w:lang w:val="en-US"/>
    </w:rPr>
  </w:style>
  <w:style w:type="paragraph" w:customStyle="1" w:styleId="c01pointnumerotealtn">
    <w:name w:val="c01pointnumerotealtn"/>
    <w:basedOn w:val="Normal"/>
    <w:rsid w:val="000C3691"/>
    <w:pPr>
      <w:suppressAutoHyphens/>
      <w:autoSpaceDN w:val="0"/>
      <w:spacing w:before="100" w:after="100"/>
      <w:textAlignment w:val="baseline"/>
    </w:pPr>
    <w:rPr>
      <w:rFonts w:ascii="Times New Roman" w:eastAsia="Times New Roman" w:hAnsi="Times New Roman"/>
      <w:sz w:val="24"/>
      <w:szCs w:val="24"/>
      <w:lang w:val="en-US"/>
    </w:rPr>
  </w:style>
  <w:style w:type="paragraph" w:styleId="NormalWeb">
    <w:name w:val="Normal (Web)"/>
    <w:basedOn w:val="Normal"/>
    <w:uiPriority w:val="99"/>
    <w:semiHidden/>
    <w:unhideWhenUsed/>
    <w:rsid w:val="003133D0"/>
    <w:pPr>
      <w:spacing w:before="100" w:beforeAutospacing="1" w:after="100" w:afterAutospacing="1"/>
    </w:pPr>
    <w:rPr>
      <w:rFonts w:ascii="Times New Roman" w:eastAsia="Times New Roman" w:hAnsi="Times New Roman"/>
      <w:sz w:val="24"/>
      <w:szCs w:val="24"/>
      <w:lang w:eastAsia="ro-RO"/>
    </w:rPr>
  </w:style>
  <w:style w:type="character" w:customStyle="1" w:styleId="apple-converted-space">
    <w:name w:val="apple-converted-space"/>
    <w:basedOn w:val="DefaultParagraphFont"/>
    <w:rsid w:val="006E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863807">
      <w:bodyDiv w:val="1"/>
      <w:marLeft w:val="0"/>
      <w:marRight w:val="0"/>
      <w:marTop w:val="0"/>
      <w:marBottom w:val="0"/>
      <w:divBdr>
        <w:top w:val="none" w:sz="0" w:space="0" w:color="auto"/>
        <w:left w:val="none" w:sz="0" w:space="0" w:color="auto"/>
        <w:bottom w:val="none" w:sz="0" w:space="0" w:color="auto"/>
        <w:right w:val="none" w:sz="0" w:space="0" w:color="auto"/>
      </w:divBdr>
    </w:div>
    <w:div w:id="1907762732">
      <w:bodyDiv w:val="1"/>
      <w:marLeft w:val="0"/>
      <w:marRight w:val="0"/>
      <w:marTop w:val="0"/>
      <w:marBottom w:val="0"/>
      <w:divBdr>
        <w:top w:val="none" w:sz="0" w:space="0" w:color="auto"/>
        <w:left w:val="none" w:sz="0" w:space="0" w:color="auto"/>
        <w:bottom w:val="none" w:sz="0" w:space="0" w:color="auto"/>
        <w:right w:val="none" w:sz="0" w:space="0" w:color="auto"/>
      </w:divBdr>
    </w:div>
    <w:div w:id="19681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4239</Words>
  <Characters>24591</Characters>
  <Application>Microsoft Office Word</Application>
  <DocSecurity>0</DocSecurity>
  <Lines>204</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Bercea</dc:creator>
  <cp:lastModifiedBy>user</cp:lastModifiedBy>
  <cp:revision>2</cp:revision>
  <dcterms:created xsi:type="dcterms:W3CDTF">2018-08-02T07:04:00Z</dcterms:created>
  <dcterms:modified xsi:type="dcterms:W3CDTF">2018-08-02T07:04:00Z</dcterms:modified>
</cp:coreProperties>
</file>